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w:t>
      </w:r>
      <w:r w:rsidRPr="00BB77A6">
        <w:rPr>
          <w:rFonts w:ascii="Times New Roman" w:hAnsi="Times New Roman" w:cs="Times New Roman"/>
          <w:sz w:val="27"/>
          <w:szCs w:val="27"/>
        </w:rPr>
        <w:lastRenderedPageBreak/>
        <w:t>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D71A66">
        <w:rPr>
          <w:sz w:val="27"/>
          <w:szCs w:val="27"/>
        </w:rPr>
        <w:t>Современный сортировочный комплекс ТБО</w:t>
      </w:r>
      <w:r w:rsidR="007478FA" w:rsidRPr="00BB77A6">
        <w:rPr>
          <w:sz w:val="27"/>
          <w:szCs w:val="27"/>
        </w:rPr>
        <w:t>, а также 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lastRenderedPageBreak/>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согласно Спецификации (Приложение № 2 к 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402EFF">
        <w:rPr>
          <w:rFonts w:ascii="Times New Roman" w:hAnsi="Times New Roman" w:cs="Times New Roman"/>
          <w:sz w:val="27"/>
          <w:szCs w:val="27"/>
        </w:rPr>
        <w:t>с 01.01.2022</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A61E09">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lastRenderedPageBreak/>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2A4581">
            <w:pPr>
              <w:jc w:val="center"/>
              <w:rPr>
                <w:color w:val="000000"/>
                <w:sz w:val="27"/>
                <w:szCs w:val="27"/>
              </w:rPr>
            </w:pPr>
            <w:r w:rsidRPr="00BB77A6">
              <w:rPr>
                <w:color w:val="000000"/>
                <w:sz w:val="27"/>
                <w:szCs w:val="27"/>
              </w:rPr>
              <w:t xml:space="preserve">Размер арендной платы </w:t>
            </w:r>
            <w:r w:rsidR="00A61E09">
              <w:rPr>
                <w:color w:val="000000"/>
                <w:sz w:val="27"/>
                <w:szCs w:val="27"/>
              </w:rPr>
              <w:t xml:space="preserve">с января </w:t>
            </w:r>
            <w:bookmarkStart w:id="0" w:name="_GoBack"/>
            <w:bookmarkEnd w:id="0"/>
            <w:r w:rsidR="00A61E09">
              <w:rPr>
                <w:color w:val="000000"/>
                <w:sz w:val="27"/>
                <w:szCs w:val="27"/>
              </w:rPr>
              <w:t>по декабрь</w:t>
            </w:r>
            <w:r w:rsidR="00096745" w:rsidRPr="00BB77A6">
              <w:rPr>
                <w:color w:val="000000"/>
                <w:sz w:val="27"/>
                <w:szCs w:val="27"/>
              </w:rPr>
              <w:t xml:space="preserve"> 202</w:t>
            </w:r>
            <w:r w:rsidR="00A61E09">
              <w:rPr>
                <w:color w:val="000000"/>
                <w:sz w:val="27"/>
                <w:szCs w:val="27"/>
              </w:rPr>
              <w:t>2</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9D" w:rsidRDefault="002A0C9D">
      <w:r>
        <w:separator/>
      </w:r>
    </w:p>
  </w:endnote>
  <w:endnote w:type="continuationSeparator" w:id="0">
    <w:p w:rsidR="002A0C9D" w:rsidRDefault="002A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9D" w:rsidRDefault="002A0C9D">
      <w:r>
        <w:separator/>
      </w:r>
    </w:p>
  </w:footnote>
  <w:footnote w:type="continuationSeparator" w:id="0">
    <w:p w:rsidR="002A0C9D" w:rsidRDefault="002A0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7295C"/>
    <w:rsid w:val="00096745"/>
    <w:rsid w:val="000D1193"/>
    <w:rsid w:val="000D1DEA"/>
    <w:rsid w:val="00141F48"/>
    <w:rsid w:val="00160137"/>
    <w:rsid w:val="00163D23"/>
    <w:rsid w:val="00167064"/>
    <w:rsid w:val="00182C5B"/>
    <w:rsid w:val="00195E3C"/>
    <w:rsid w:val="001A0663"/>
    <w:rsid w:val="001A65BC"/>
    <w:rsid w:val="001B7BFD"/>
    <w:rsid w:val="001D1B5E"/>
    <w:rsid w:val="001F6D6A"/>
    <w:rsid w:val="00231D8D"/>
    <w:rsid w:val="00251669"/>
    <w:rsid w:val="00257042"/>
    <w:rsid w:val="00264E28"/>
    <w:rsid w:val="002717A3"/>
    <w:rsid w:val="00272A38"/>
    <w:rsid w:val="00280042"/>
    <w:rsid w:val="00293731"/>
    <w:rsid w:val="002A0C9D"/>
    <w:rsid w:val="002A3677"/>
    <w:rsid w:val="002A4581"/>
    <w:rsid w:val="002A4FE5"/>
    <w:rsid w:val="002C79F1"/>
    <w:rsid w:val="002D185E"/>
    <w:rsid w:val="002F3A84"/>
    <w:rsid w:val="002F7697"/>
    <w:rsid w:val="00306E29"/>
    <w:rsid w:val="003242B9"/>
    <w:rsid w:val="00343913"/>
    <w:rsid w:val="003547F9"/>
    <w:rsid w:val="003567D6"/>
    <w:rsid w:val="00384B2B"/>
    <w:rsid w:val="003D4D64"/>
    <w:rsid w:val="0040190D"/>
    <w:rsid w:val="00402EFF"/>
    <w:rsid w:val="00425D41"/>
    <w:rsid w:val="0043049B"/>
    <w:rsid w:val="00431998"/>
    <w:rsid w:val="004447B0"/>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32AA4"/>
    <w:rsid w:val="00664029"/>
    <w:rsid w:val="006B0FF8"/>
    <w:rsid w:val="006B4B64"/>
    <w:rsid w:val="006D3977"/>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61E09"/>
    <w:rsid w:val="00A77673"/>
    <w:rsid w:val="00A86153"/>
    <w:rsid w:val="00AB6475"/>
    <w:rsid w:val="00AD4676"/>
    <w:rsid w:val="00AD4DA3"/>
    <w:rsid w:val="00AD5493"/>
    <w:rsid w:val="00B135C9"/>
    <w:rsid w:val="00B32753"/>
    <w:rsid w:val="00B40C78"/>
    <w:rsid w:val="00B50BCD"/>
    <w:rsid w:val="00B528B3"/>
    <w:rsid w:val="00B736A8"/>
    <w:rsid w:val="00B81FCA"/>
    <w:rsid w:val="00BA6265"/>
    <w:rsid w:val="00BB02C2"/>
    <w:rsid w:val="00BB77A6"/>
    <w:rsid w:val="00BD60B8"/>
    <w:rsid w:val="00BE2DB2"/>
    <w:rsid w:val="00BF5E82"/>
    <w:rsid w:val="00C27DC6"/>
    <w:rsid w:val="00C35349"/>
    <w:rsid w:val="00C66D9A"/>
    <w:rsid w:val="00CB74D3"/>
    <w:rsid w:val="00CD0430"/>
    <w:rsid w:val="00CD4BD1"/>
    <w:rsid w:val="00CF151C"/>
    <w:rsid w:val="00D00BCB"/>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6</Pages>
  <Words>1667</Words>
  <Characters>9505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55</cp:revision>
  <cp:lastPrinted>2021-11-08T11:12:00Z</cp:lastPrinted>
  <dcterms:created xsi:type="dcterms:W3CDTF">2017-05-31T11:28:00Z</dcterms:created>
  <dcterms:modified xsi:type="dcterms:W3CDTF">2021-12-06T11:13:00Z</dcterms:modified>
</cp:coreProperties>
</file>