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5A0E97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5A0E97">
              <w:rPr>
                <w:i w:val="0"/>
              </w:rPr>
              <w:t xml:space="preserve">изготовление и поставку </w:t>
            </w:r>
            <w:proofErr w:type="gramStart"/>
            <w:r w:rsidR="003B5B6A" w:rsidRPr="003B5B6A">
              <w:rPr>
                <w:i w:val="0"/>
              </w:rPr>
              <w:t>блок-контейнер</w:t>
            </w:r>
            <w:r w:rsidR="003B5B6A">
              <w:rPr>
                <w:i w:val="0"/>
              </w:rPr>
              <w:t>ов</w:t>
            </w:r>
            <w:bookmarkStart w:id="0" w:name="_GoBack"/>
            <w:bookmarkEnd w:id="0"/>
            <w:proofErr w:type="gramEnd"/>
            <w:r w:rsidR="003B5B6A" w:rsidRPr="003B5B6A">
              <w:rPr>
                <w:i w:val="0"/>
              </w:rPr>
              <w:t xml:space="preserve"> под раздевалку </w:t>
            </w:r>
            <w:r w:rsidR="00E63A69">
              <w:rPr>
                <w:i w:val="0"/>
              </w:rPr>
              <w:t xml:space="preserve">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5A0E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3C305E">
        <w:rPr>
          <w:b/>
          <w:i w:val="0"/>
          <w:sz w:val="24"/>
          <w:szCs w:val="24"/>
        </w:rPr>
        <w:t>изготовление,</w:t>
      </w:r>
      <w:r w:rsidR="005A0E97">
        <w:rPr>
          <w:b/>
          <w:i w:val="0"/>
          <w:sz w:val="24"/>
          <w:szCs w:val="24"/>
        </w:rPr>
        <w:t xml:space="preserve"> поставку </w:t>
      </w:r>
      <w:r w:rsidR="003C305E">
        <w:rPr>
          <w:b/>
          <w:i w:val="0"/>
          <w:sz w:val="24"/>
          <w:szCs w:val="24"/>
        </w:rPr>
        <w:t xml:space="preserve">и </w:t>
      </w:r>
      <w:r w:rsidR="00C875E0">
        <w:rPr>
          <w:b/>
          <w:i w:val="0"/>
          <w:sz w:val="24"/>
          <w:szCs w:val="24"/>
        </w:rPr>
        <w:t>монтаж</w:t>
      </w:r>
      <w:r w:rsidR="003C305E">
        <w:rPr>
          <w:b/>
          <w:i w:val="0"/>
          <w:sz w:val="24"/>
          <w:szCs w:val="24"/>
        </w:rPr>
        <w:t xml:space="preserve"> б</w:t>
      </w:r>
      <w:r w:rsidR="003C305E" w:rsidRPr="003C305E">
        <w:rPr>
          <w:b/>
          <w:i w:val="0"/>
          <w:sz w:val="24"/>
          <w:szCs w:val="24"/>
        </w:rPr>
        <w:t>лок-контейнер</w:t>
      </w:r>
      <w:r w:rsidR="003C305E">
        <w:rPr>
          <w:b/>
          <w:i w:val="0"/>
          <w:sz w:val="24"/>
          <w:szCs w:val="24"/>
        </w:rPr>
        <w:t>ов</w:t>
      </w:r>
      <w:r w:rsidR="003C305E" w:rsidRPr="003C305E">
        <w:rPr>
          <w:b/>
          <w:i w:val="0"/>
          <w:sz w:val="24"/>
          <w:szCs w:val="24"/>
        </w:rPr>
        <w:t xml:space="preserve"> под раздевалку</w:t>
      </w:r>
    </w:p>
    <w:p w:rsidR="00262C97" w:rsidRDefault="00E63A69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для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8C34E3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8C34E3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8C34E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05779" w:rsidP="00D05779">
            <w:pPr>
              <w:jc w:val="left"/>
              <w:rPr>
                <w:i w:val="0"/>
              </w:rPr>
            </w:pPr>
            <w:r>
              <w:t>Спецификация № 1.</w:t>
            </w:r>
          </w:p>
          <w:p w:rsidR="00DE2B08" w:rsidRPr="003F64C9" w:rsidRDefault="00DE2B08" w:rsidP="008C34E3">
            <w:pPr>
              <w:rPr>
                <w:i w:val="0"/>
              </w:rPr>
            </w:pP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8C34E3">
        <w:tc>
          <w:tcPr>
            <w:tcW w:w="273" w:type="pct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Default="00DE2B08" w:rsidP="008C34E3">
            <w:pPr>
              <w:jc w:val="both"/>
              <w:rPr>
                <w:color w:val="000000"/>
                <w:sz w:val="22"/>
                <w:szCs w:val="22"/>
              </w:rPr>
            </w:pPr>
            <w:r w:rsidRPr="00726264">
              <w:rPr>
                <w:color w:val="000000"/>
                <w:sz w:val="22"/>
                <w:szCs w:val="22"/>
              </w:rPr>
              <w:t>Современ</w:t>
            </w:r>
            <w:r w:rsidR="001344DD">
              <w:rPr>
                <w:color w:val="000000"/>
                <w:sz w:val="22"/>
                <w:szCs w:val="22"/>
              </w:rPr>
              <w:t>ный сортировочный  комплекс</w:t>
            </w:r>
            <w:r w:rsidRPr="00726264">
              <w:rPr>
                <w:color w:val="000000"/>
                <w:sz w:val="22"/>
                <w:szCs w:val="22"/>
              </w:rPr>
              <w:t xml:space="preserve"> </w:t>
            </w:r>
          </w:p>
          <w:p w:rsidR="003C305E" w:rsidRPr="00351A22" w:rsidRDefault="003C305E" w:rsidP="008C34E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Полигон «МАГ-1»</w:t>
            </w:r>
          </w:p>
        </w:tc>
      </w:tr>
      <w:tr w:rsidR="00DE2B08" w:rsidRPr="00B20291" w:rsidTr="008C34E3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8C34E3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8C34E3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003"/>
        <w:gridCol w:w="1417"/>
      </w:tblGrid>
      <w:tr w:rsidR="003C305E" w:rsidRPr="000D451C" w:rsidTr="003C305E">
        <w:tc>
          <w:tcPr>
            <w:tcW w:w="3624" w:type="dxa"/>
            <w:shd w:val="clear" w:color="auto" w:fill="auto"/>
          </w:tcPr>
          <w:p w:rsidR="003C305E" w:rsidRPr="000D451C" w:rsidRDefault="003C305E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E33BDD">
              <w:t xml:space="preserve"> </w:t>
            </w: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003" w:type="dxa"/>
            <w:shd w:val="clear" w:color="auto" w:fill="auto"/>
          </w:tcPr>
          <w:p w:rsidR="003C305E" w:rsidRPr="000D451C" w:rsidRDefault="003C305E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417" w:type="dxa"/>
          </w:tcPr>
          <w:p w:rsidR="003C305E" w:rsidRPr="000D451C" w:rsidRDefault="003C305E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К</w:t>
            </w: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оличество</w:t>
            </w:r>
          </w:p>
        </w:tc>
      </w:tr>
      <w:tr w:rsidR="003C305E" w:rsidRPr="000D451C" w:rsidTr="003C305E"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:rsidR="003C305E" w:rsidRPr="003C305E" w:rsidRDefault="003C305E" w:rsidP="003C305E">
            <w:pPr>
              <w:suppressAutoHyphens/>
              <w:spacing w:line="240" w:lineRule="auto"/>
              <w:jc w:val="both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Pr="003C305E">
              <w:rPr>
                <w:rFonts w:eastAsia="Times New Roman"/>
                <w:i w:val="0"/>
                <w:sz w:val="24"/>
                <w:szCs w:val="24"/>
                <w:lang w:eastAsia="ar-SA"/>
              </w:rPr>
              <w:t>блок-контейнер под раздевалку</w:t>
            </w:r>
          </w:p>
        </w:tc>
        <w:tc>
          <w:tcPr>
            <w:tcW w:w="1003" w:type="dxa"/>
            <w:shd w:val="clear" w:color="auto" w:fill="auto"/>
          </w:tcPr>
          <w:p w:rsidR="003C305E" w:rsidRPr="000D451C" w:rsidRDefault="003C305E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 w:rsidRPr="000D451C">
              <w:rPr>
                <w:rFonts w:eastAsia="Times New Roman"/>
                <w:i w:val="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417" w:type="dxa"/>
          </w:tcPr>
          <w:p w:rsidR="003C305E" w:rsidRPr="000D451C" w:rsidRDefault="003C305E" w:rsidP="000D451C">
            <w:pPr>
              <w:suppressAutoHyphens/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 w:val="0"/>
                <w:sz w:val="24"/>
                <w:szCs w:val="24"/>
                <w:lang w:eastAsia="ar-SA"/>
              </w:rPr>
              <w:t>3</w:t>
            </w:r>
          </w:p>
        </w:tc>
      </w:tr>
    </w:tbl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4C7064" w:rsidRPr="004C7064" w:rsidRDefault="003C305E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3C305E">
        <w:rPr>
          <w:rFonts w:eastAsia="Times New Roman"/>
          <w:i w:val="0"/>
          <w:color w:val="000000"/>
          <w:sz w:val="24"/>
          <w:szCs w:val="24"/>
          <w:lang w:eastAsia="ru-RU"/>
        </w:rPr>
        <w:t>Блок-контейнер под раздевалку</w:t>
      </w:r>
      <w:r w:rsidRPr="003C305E">
        <w:rPr>
          <w:i w:val="0"/>
          <w:sz w:val="24"/>
          <w:szCs w:val="24"/>
        </w:rPr>
        <w:t xml:space="preserve"> </w:t>
      </w:r>
      <w:r w:rsidR="004C7064"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из сэндвич панелей с надёжной металлической сварной конструкцией при эксплуатации в температурах окружающей среды от -30 до +35 </w:t>
      </w:r>
      <w:r w:rsidR="004C7064" w:rsidRPr="004C7064">
        <w:rPr>
          <w:rFonts w:eastAsia="Times New Roman"/>
          <w:i w:val="0"/>
          <w:color w:val="000000"/>
          <w:sz w:val="24"/>
          <w:szCs w:val="24"/>
          <w:vertAlign w:val="superscript"/>
          <w:lang w:eastAsia="ru-RU"/>
        </w:rPr>
        <w:t>0</w:t>
      </w:r>
      <w:r w:rsidR="004C7064"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>С.</w:t>
      </w:r>
      <w:r w:rsidR="004C7064" w:rsidRPr="004C7064">
        <w:rPr>
          <w:i w:val="0"/>
          <w:sz w:val="24"/>
          <w:szCs w:val="24"/>
        </w:rPr>
        <w:t xml:space="preserve"> </w:t>
      </w:r>
      <w:r w:rsidR="004C7064"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>размером (</w:t>
      </w:r>
      <w:proofErr w:type="spellStart"/>
      <w:r w:rsidR="004C7064"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>ДхШхВ</w:t>
      </w:r>
      <w:proofErr w:type="spellEnd"/>
      <w:r w:rsidR="004C7064"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) 6000х2400х 2500 мм.; с учетом доставки и </w:t>
      </w:r>
      <w:r w:rsidR="00E05DE4">
        <w:rPr>
          <w:rFonts w:eastAsia="Times New Roman"/>
          <w:i w:val="0"/>
          <w:color w:val="000000"/>
          <w:sz w:val="24"/>
          <w:szCs w:val="24"/>
          <w:lang w:eastAsia="ru-RU"/>
        </w:rPr>
        <w:t>монтажа по адресу:</w:t>
      </w:r>
      <w:r w:rsidR="004C7064"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Нижегородск</w:t>
      </w:r>
      <w:r w:rsidR="00E05DE4">
        <w:rPr>
          <w:rFonts w:eastAsia="Times New Roman"/>
          <w:i w:val="0"/>
          <w:color w:val="000000"/>
          <w:sz w:val="24"/>
          <w:szCs w:val="24"/>
          <w:lang w:eastAsia="ru-RU"/>
        </w:rPr>
        <w:t>ая</w:t>
      </w:r>
      <w:r w:rsidR="004C7064"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область, г. Дзержинск, шоссе Московское 56, Полигон ТБО </w:t>
      </w:r>
      <w:r w:rsidR="00433938">
        <w:rPr>
          <w:rFonts w:eastAsia="Times New Roman"/>
          <w:i w:val="0"/>
          <w:color w:val="000000"/>
          <w:sz w:val="24"/>
          <w:szCs w:val="24"/>
          <w:lang w:eastAsia="ru-RU"/>
        </w:rPr>
        <w:t>«</w:t>
      </w:r>
      <w:r w:rsidR="004C7064"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>МАГ-1</w:t>
      </w:r>
      <w:r w:rsidR="00433938">
        <w:rPr>
          <w:rFonts w:eastAsia="Times New Roman"/>
          <w:i w:val="0"/>
          <w:color w:val="000000"/>
          <w:sz w:val="24"/>
          <w:szCs w:val="24"/>
          <w:lang w:eastAsia="ru-RU"/>
        </w:rPr>
        <w:t>»</w:t>
      </w:r>
      <w:r w:rsidR="004C7064"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. </w:t>
      </w:r>
    </w:p>
    <w:p w:rsidR="004C7064" w:rsidRPr="004C7064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Соответствует ГОСТ </w:t>
      </w:r>
      <w:proofErr w:type="gramStart"/>
      <w:r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>Р</w:t>
      </w:r>
      <w:proofErr w:type="gramEnd"/>
      <w:r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58760-2019, ГОСТ Р 58761-2019,  СП 2.1.3678-20, </w:t>
      </w:r>
    </w:p>
    <w:p w:rsidR="004C7064" w:rsidRPr="004C7064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</w:p>
    <w:p w:rsidR="004C7064" w:rsidRPr="004C7064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</w:pPr>
      <w:r w:rsidRPr="004C7064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Комплектация одного изделия включает в себя: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4C7064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Каркас</w:t>
      </w:r>
      <w:r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Металлический стальной высокопрочный, прямоугольный из профилей заводского исполнения, является основным несущим элементом, выполнен из</w:t>
      </w:r>
      <w:r w:rsidR="007D6A39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п</w:t>
      </w:r>
      <w:r w:rsidRPr="004C7064">
        <w:rPr>
          <w:rFonts w:eastAsia="Times New Roman"/>
          <w:i w:val="0"/>
          <w:color w:val="000000"/>
          <w:sz w:val="24"/>
          <w:szCs w:val="24"/>
          <w:lang w:eastAsia="ru-RU"/>
        </w:rPr>
        <w:t>рофильной трубы 80*80мм.</w:t>
      </w:r>
      <w:r w:rsidR="007D6A39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</w:t>
      </w:r>
      <w:r w:rsidR="007D6A39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или швеллера 100*50*3 мм.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Металлоконструкции окрашены в 2 слоя. Соединения рам со стойками сварные. Жесткость каркаса обеспечивается системой распорок, вертикальных и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горизонтальных связей. Блок – контейнер имеет устройства (ушки),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обеспечивающие безопасную и надежную перевозку и крепление на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транспортных средствах.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Полы: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Дно подшито оцинкованным железом, шаговая обрешетка из доски 25мм, </w:t>
      </w:r>
      <w:proofErr w:type="spellStart"/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ветро</w:t>
      </w:r>
      <w:proofErr w:type="spellEnd"/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-влагозащитная </w:t>
      </w:r>
      <w:proofErr w:type="spellStart"/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пвх</w:t>
      </w:r>
      <w:proofErr w:type="spellEnd"/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пленка, лаги из швеллера 50х100х3мм.</w:t>
      </w:r>
      <w:r w:rsidRPr="0061715B">
        <w:rPr>
          <w:i w:val="0"/>
          <w:sz w:val="24"/>
          <w:szCs w:val="24"/>
        </w:rPr>
        <w:t xml:space="preserve"> 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с шагом не более 600 мм., утепление 100мм, шаговая обрешетка из доски 25мм, настил из влагостойкой ДСП 16 мм.; чистовое покрытие линолеум (износостойкий) с плинтусами ПВХ.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Кровля: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Односкатная, покрытие окрашенный профилированный лист С-21 (RAL 6029 зеленый). Потолочные лаги и деревянная обрешетка из бруса 40*100;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минеральная вата, толщина 100 мм, с применением паро-</w:t>
      </w:r>
      <w:proofErr w:type="spellStart"/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ветроизоляции</w:t>
      </w:r>
      <w:proofErr w:type="spellEnd"/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, подшивка потолка – окрашенный профилированный лист С-8 (RAL 9003 белый).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Стены: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Сэндвич панель металл/</w:t>
      </w:r>
      <w:r w:rsidRPr="0061715B">
        <w:rPr>
          <w:i w:val="0"/>
          <w:sz w:val="24"/>
          <w:szCs w:val="24"/>
        </w:rPr>
        <w:t xml:space="preserve"> 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минеральная вата /металл, 100мм.с электростатическим покрытием цвета зеленый</w:t>
      </w:r>
      <w:r w:rsidRPr="0061715B">
        <w:rPr>
          <w:rFonts w:eastAsia="Times New Roman"/>
          <w:i w:val="0"/>
          <w:sz w:val="23"/>
          <w:szCs w:val="23"/>
          <w:lang w:eastAsia="ru-RU"/>
        </w:rPr>
        <w:t xml:space="preserve"> 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RAL 6029.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lastRenderedPageBreak/>
        <w:t>Перегородка межкомнатная Сэндвич панель металл/</w:t>
      </w:r>
      <w:r w:rsidRPr="0061715B">
        <w:rPr>
          <w:i w:val="0"/>
          <w:sz w:val="24"/>
          <w:szCs w:val="24"/>
        </w:rPr>
        <w:t xml:space="preserve"> 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минеральная вата/металл, 50мм. С электростатическим покрытием цвет белый.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Окна: ПВХ белый, двухкамерный стеклопакет, поворотное-откидное (800х1000мм) – 1 шт. с москитной сеткой.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Дверь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межкомнатная Металлическая утеплённая 800*2000 мм без замка (облегченного типа) – 1 шт.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Дверь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входная металлическая утеплённая 800*2000 мм с врезным замком (открывается изнутри без ключа) – 1 шт.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Двери открываются наружу.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Электропроводка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в кабель-канале ВВГ 2х2,5 мм</w:t>
      </w:r>
      <w:proofErr w:type="gramStart"/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.</w:t>
      </w:r>
      <w:proofErr w:type="gramEnd"/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</w:t>
      </w:r>
      <w:proofErr w:type="gramStart"/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н</w:t>
      </w:r>
      <w:proofErr w:type="gramEnd"/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а розетки и 2х1,5 мм. на освещение (</w:t>
      </w:r>
      <w:r w:rsidR="00FE38C2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3-светильника (светодиодные),  две двойные ро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зетки; </w:t>
      </w:r>
      <w:r w:rsidR="00FE38C2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два выключателя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, </w:t>
      </w:r>
      <w:r w:rsidR="00834658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автоматический выключатель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</w:t>
      </w:r>
      <w:r w:rsidR="00834658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на 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25А на </w:t>
      </w:r>
      <w:r w:rsidR="00834658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две 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розетки, </w:t>
      </w:r>
      <w:r w:rsidR="00834658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автоматический выключатель на 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10А на освещение, бокс для автоматов, УЗО.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Конвектор (электрообогреватель) 1,5 кВт. – 2 шт.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i w:val="0"/>
          <w:sz w:val="24"/>
          <w:szCs w:val="24"/>
        </w:rPr>
      </w:pPr>
      <w:r w:rsidRPr="0061715B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Умывальник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дачный ЛЮКС, с подогревом, нержавеющая мойка – 1 шт.</w:t>
      </w:r>
      <w:r w:rsidRPr="0061715B">
        <w:rPr>
          <w:i w:val="0"/>
          <w:sz w:val="24"/>
          <w:szCs w:val="24"/>
        </w:rPr>
        <w:t xml:space="preserve"> 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Накопительный бак для воды 200л. – 1шт.</w:t>
      </w:r>
    </w:p>
    <w:p w:rsidR="007D6A39" w:rsidRPr="0061715B" w:rsidRDefault="007D6A39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Электрический насос </w:t>
      </w:r>
      <w:r w:rsidR="00C8399B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с шлангом 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для подачи воды из накопительного бака в умывальник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Вентиляция: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Принудительная 220В, включение совмещено с включателем света.</w:t>
      </w:r>
    </w:p>
    <w:p w:rsidR="004C7064" w:rsidRPr="0061715B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</w:p>
    <w:p w:rsidR="004C7064" w:rsidRPr="004C7064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  <w:r w:rsidRPr="0061715B">
        <w:rPr>
          <w:rFonts w:eastAsia="Times New Roman"/>
          <w:b/>
          <w:bCs/>
          <w:i w:val="0"/>
          <w:color w:val="000000"/>
          <w:sz w:val="24"/>
          <w:szCs w:val="24"/>
          <w:lang w:eastAsia="ru-RU"/>
        </w:rPr>
        <w:t>Мебель: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20 металлических шкафов д</w:t>
      </w:r>
      <w:r w:rsidR="00F06645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ля одежды с двумя отделениями (</w:t>
      </w:r>
      <w:r w:rsidR="004C3DE0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Шкаф металлический для одежды ПРАКТИК "LS-11-40D", 2 отделения, </w:t>
      </w:r>
      <w:proofErr w:type="spellStart"/>
      <w:r w:rsidR="004C3DE0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ВхШхГ</w:t>
      </w:r>
      <w:proofErr w:type="spellEnd"/>
      <w:r w:rsidR="004C3DE0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– 1830*418*500</w:t>
      </w:r>
      <w:r w:rsidR="00A956D8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или аналог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) и </w:t>
      </w:r>
      <w:r w:rsidR="00433C82"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>оборудованные</w:t>
      </w:r>
      <w:r w:rsidRPr="0061715B">
        <w:rPr>
          <w:rFonts w:eastAsia="Times New Roman"/>
          <w:i w:val="0"/>
          <w:color w:val="000000"/>
          <w:sz w:val="24"/>
          <w:szCs w:val="24"/>
          <w:lang w:eastAsia="ru-RU"/>
        </w:rPr>
        <w:t xml:space="preserve"> замками.</w:t>
      </w:r>
    </w:p>
    <w:p w:rsidR="004C7064" w:rsidRPr="004C7064" w:rsidRDefault="004C7064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4"/>
          <w:lang w:eastAsia="ru-RU"/>
        </w:rPr>
      </w:pPr>
    </w:p>
    <w:p w:rsidR="004C7064" w:rsidRPr="004C7064" w:rsidRDefault="004C7064" w:rsidP="004C7064">
      <w:pPr>
        <w:shd w:val="clear" w:color="auto" w:fill="FFFFFF"/>
        <w:spacing w:line="240" w:lineRule="auto"/>
        <w:jc w:val="left"/>
        <w:rPr>
          <w:rFonts w:ascii="YS Text" w:eastAsia="Times New Roman" w:hAnsi="YS Text"/>
          <w:i w:val="0"/>
          <w:color w:val="000000"/>
          <w:sz w:val="23"/>
          <w:szCs w:val="23"/>
          <w:lang w:eastAsia="ru-RU"/>
        </w:rPr>
      </w:pPr>
    </w:p>
    <w:p w:rsidR="004C7064" w:rsidRPr="004C7064" w:rsidRDefault="004C7064" w:rsidP="004C7064">
      <w:pPr>
        <w:shd w:val="clear" w:color="auto" w:fill="FFFFFF"/>
        <w:spacing w:line="240" w:lineRule="auto"/>
        <w:jc w:val="left"/>
        <w:rPr>
          <w:rFonts w:ascii="YS Text" w:eastAsia="Times New Roman" w:hAnsi="YS Text"/>
          <w:i w:val="0"/>
          <w:color w:val="000000"/>
          <w:sz w:val="23"/>
          <w:szCs w:val="23"/>
          <w:lang w:eastAsia="ru-RU"/>
        </w:rPr>
      </w:pPr>
      <w:r w:rsidRPr="004C7064">
        <w:rPr>
          <w:rFonts w:ascii="Calibri" w:hAnsi="Calibri"/>
          <w:i w:val="0"/>
          <w:noProof/>
          <w:sz w:val="22"/>
          <w:szCs w:val="22"/>
          <w:lang w:eastAsia="ru-RU"/>
        </w:rPr>
        <w:drawing>
          <wp:inline distT="0" distB="0" distL="0" distR="0" wp14:anchorId="63819E6E" wp14:editId="7EA7CFA7">
            <wp:extent cx="3785603" cy="1448409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133" cy="145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080" w:rsidRDefault="000E5080" w:rsidP="004C7064">
      <w:pPr>
        <w:shd w:val="clear" w:color="auto" w:fill="FFFFFF"/>
        <w:spacing w:line="240" w:lineRule="auto"/>
        <w:jc w:val="both"/>
        <w:rPr>
          <w:rFonts w:eastAsia="Times New Roman"/>
          <w:i w:val="0"/>
          <w:color w:val="000000"/>
          <w:sz w:val="24"/>
          <w:szCs w:val="22"/>
        </w:rPr>
      </w:pPr>
    </w:p>
    <w:sectPr w:rsidR="000E5080" w:rsidSect="001A5435">
      <w:headerReference w:type="default" r:id="rId10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65" w:rsidRDefault="005F4665" w:rsidP="00B6079C">
      <w:pPr>
        <w:spacing w:line="240" w:lineRule="auto"/>
      </w:pPr>
      <w:r>
        <w:separator/>
      </w:r>
    </w:p>
  </w:endnote>
  <w:endnote w:type="continuationSeparator" w:id="0">
    <w:p w:rsidR="005F4665" w:rsidRDefault="005F4665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65" w:rsidRDefault="005F4665" w:rsidP="00B6079C">
      <w:pPr>
        <w:spacing w:line="240" w:lineRule="auto"/>
      </w:pPr>
      <w:r>
        <w:separator/>
      </w:r>
    </w:p>
  </w:footnote>
  <w:footnote w:type="continuationSeparator" w:id="0">
    <w:p w:rsidR="005F4665" w:rsidRDefault="005F4665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8C34E3" w:rsidRDefault="00164F87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5B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4E3" w:rsidRDefault="008C34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E4325"/>
    <w:multiLevelType w:val="hybridMultilevel"/>
    <w:tmpl w:val="3CAE391C"/>
    <w:lvl w:ilvl="0" w:tplc="634E35C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A96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83F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C1B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A1D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880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6DA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45A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6F9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3"/>
  </w:num>
  <w:num w:numId="5">
    <w:abstractNumId w:val="20"/>
  </w:num>
  <w:num w:numId="6">
    <w:abstractNumId w:val="48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7"/>
  </w:num>
  <w:num w:numId="31">
    <w:abstractNumId w:val="44"/>
  </w:num>
  <w:num w:numId="32">
    <w:abstractNumId w:val="31"/>
  </w:num>
  <w:num w:numId="33">
    <w:abstractNumId w:val="30"/>
  </w:num>
  <w:num w:numId="34">
    <w:abstractNumId w:val="46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9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5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3FC0"/>
    <w:rsid w:val="00004CA7"/>
    <w:rsid w:val="00006F04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1F07"/>
    <w:rsid w:val="000A248F"/>
    <w:rsid w:val="000A52C3"/>
    <w:rsid w:val="000A53D1"/>
    <w:rsid w:val="000B0994"/>
    <w:rsid w:val="000C6C1D"/>
    <w:rsid w:val="000D451C"/>
    <w:rsid w:val="000D4F90"/>
    <w:rsid w:val="000E0669"/>
    <w:rsid w:val="000E2F50"/>
    <w:rsid w:val="000E483A"/>
    <w:rsid w:val="000E5080"/>
    <w:rsid w:val="000F1561"/>
    <w:rsid w:val="00104539"/>
    <w:rsid w:val="00104FF5"/>
    <w:rsid w:val="00120C79"/>
    <w:rsid w:val="001210F0"/>
    <w:rsid w:val="00123337"/>
    <w:rsid w:val="00132012"/>
    <w:rsid w:val="001344DD"/>
    <w:rsid w:val="0014415C"/>
    <w:rsid w:val="001508F3"/>
    <w:rsid w:val="001532F3"/>
    <w:rsid w:val="001537A3"/>
    <w:rsid w:val="00154A98"/>
    <w:rsid w:val="001634F8"/>
    <w:rsid w:val="00164F87"/>
    <w:rsid w:val="00180D44"/>
    <w:rsid w:val="0018624F"/>
    <w:rsid w:val="00186FCA"/>
    <w:rsid w:val="001948A8"/>
    <w:rsid w:val="001973E6"/>
    <w:rsid w:val="00197D85"/>
    <w:rsid w:val="001A0953"/>
    <w:rsid w:val="001A1344"/>
    <w:rsid w:val="001A14E8"/>
    <w:rsid w:val="001A48BA"/>
    <w:rsid w:val="001A5435"/>
    <w:rsid w:val="001A786F"/>
    <w:rsid w:val="001B1274"/>
    <w:rsid w:val="001B41EC"/>
    <w:rsid w:val="001B49E5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51"/>
    <w:rsid w:val="002131F3"/>
    <w:rsid w:val="0021372A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C6F4D"/>
    <w:rsid w:val="002D0580"/>
    <w:rsid w:val="002D1B86"/>
    <w:rsid w:val="002D1E81"/>
    <w:rsid w:val="002D50F3"/>
    <w:rsid w:val="002D79AC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0E20"/>
    <w:rsid w:val="00321169"/>
    <w:rsid w:val="003232C2"/>
    <w:rsid w:val="003304F6"/>
    <w:rsid w:val="00333E36"/>
    <w:rsid w:val="00337BF1"/>
    <w:rsid w:val="003405AE"/>
    <w:rsid w:val="003413F5"/>
    <w:rsid w:val="00341D3F"/>
    <w:rsid w:val="003426FF"/>
    <w:rsid w:val="00346A0B"/>
    <w:rsid w:val="00351A22"/>
    <w:rsid w:val="0035329F"/>
    <w:rsid w:val="003613D4"/>
    <w:rsid w:val="00361BE0"/>
    <w:rsid w:val="003632D6"/>
    <w:rsid w:val="00383E7F"/>
    <w:rsid w:val="00390DAE"/>
    <w:rsid w:val="00392621"/>
    <w:rsid w:val="0039755D"/>
    <w:rsid w:val="003976A2"/>
    <w:rsid w:val="003A5CC8"/>
    <w:rsid w:val="003B1734"/>
    <w:rsid w:val="003B2EC8"/>
    <w:rsid w:val="003B3F8C"/>
    <w:rsid w:val="003B5B6A"/>
    <w:rsid w:val="003C1753"/>
    <w:rsid w:val="003C305E"/>
    <w:rsid w:val="003C45B5"/>
    <w:rsid w:val="003C4867"/>
    <w:rsid w:val="003C6368"/>
    <w:rsid w:val="003C7569"/>
    <w:rsid w:val="003D169B"/>
    <w:rsid w:val="003D4EE4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33938"/>
    <w:rsid w:val="00433C82"/>
    <w:rsid w:val="0044058A"/>
    <w:rsid w:val="0044438D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C3DE0"/>
    <w:rsid w:val="004C7064"/>
    <w:rsid w:val="004E263F"/>
    <w:rsid w:val="004E5CD8"/>
    <w:rsid w:val="004E5DD9"/>
    <w:rsid w:val="004F3A91"/>
    <w:rsid w:val="004F3D8A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74C04"/>
    <w:rsid w:val="00582A09"/>
    <w:rsid w:val="00584C79"/>
    <w:rsid w:val="005A0E97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293F"/>
    <w:rsid w:val="005F3E1D"/>
    <w:rsid w:val="005F4665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5B"/>
    <w:rsid w:val="006171C8"/>
    <w:rsid w:val="006174BE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631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67DBA"/>
    <w:rsid w:val="00771BB3"/>
    <w:rsid w:val="007734A2"/>
    <w:rsid w:val="0077513A"/>
    <w:rsid w:val="007811F8"/>
    <w:rsid w:val="007825E8"/>
    <w:rsid w:val="00785955"/>
    <w:rsid w:val="00792EB8"/>
    <w:rsid w:val="00794E46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39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4658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2DD1"/>
    <w:rsid w:val="008B7702"/>
    <w:rsid w:val="008C17D3"/>
    <w:rsid w:val="008C34E3"/>
    <w:rsid w:val="008C62A1"/>
    <w:rsid w:val="008C7819"/>
    <w:rsid w:val="008D1E49"/>
    <w:rsid w:val="008D4AE4"/>
    <w:rsid w:val="008E5097"/>
    <w:rsid w:val="008F4744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4AF2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97F67"/>
    <w:rsid w:val="009A1E1F"/>
    <w:rsid w:val="009A2282"/>
    <w:rsid w:val="009A2F2B"/>
    <w:rsid w:val="009A363B"/>
    <w:rsid w:val="009A3D62"/>
    <w:rsid w:val="009A53A0"/>
    <w:rsid w:val="009A55DC"/>
    <w:rsid w:val="009A560F"/>
    <w:rsid w:val="009A5C10"/>
    <w:rsid w:val="009A64B2"/>
    <w:rsid w:val="009B3BE1"/>
    <w:rsid w:val="009C3546"/>
    <w:rsid w:val="009C6445"/>
    <w:rsid w:val="009C6469"/>
    <w:rsid w:val="009E261F"/>
    <w:rsid w:val="009E4F31"/>
    <w:rsid w:val="009F793C"/>
    <w:rsid w:val="00A000E7"/>
    <w:rsid w:val="00A069A9"/>
    <w:rsid w:val="00A12005"/>
    <w:rsid w:val="00A12FA6"/>
    <w:rsid w:val="00A25794"/>
    <w:rsid w:val="00A33701"/>
    <w:rsid w:val="00A337C2"/>
    <w:rsid w:val="00A33D70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56D8"/>
    <w:rsid w:val="00A97426"/>
    <w:rsid w:val="00AA1F45"/>
    <w:rsid w:val="00AA7C4E"/>
    <w:rsid w:val="00AB0620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17948"/>
    <w:rsid w:val="00B21E53"/>
    <w:rsid w:val="00B25AA9"/>
    <w:rsid w:val="00B306CC"/>
    <w:rsid w:val="00B324A6"/>
    <w:rsid w:val="00B344FC"/>
    <w:rsid w:val="00B46421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0145"/>
    <w:rsid w:val="00BB1D29"/>
    <w:rsid w:val="00BB27AC"/>
    <w:rsid w:val="00BB3AA5"/>
    <w:rsid w:val="00BB4B4D"/>
    <w:rsid w:val="00BB58CC"/>
    <w:rsid w:val="00BB6086"/>
    <w:rsid w:val="00BC1EB6"/>
    <w:rsid w:val="00BC245A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648D"/>
    <w:rsid w:val="00C579C2"/>
    <w:rsid w:val="00C57CB1"/>
    <w:rsid w:val="00C66B77"/>
    <w:rsid w:val="00C747D3"/>
    <w:rsid w:val="00C77558"/>
    <w:rsid w:val="00C8399B"/>
    <w:rsid w:val="00C84904"/>
    <w:rsid w:val="00C875E0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C6FA5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0B6A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62685"/>
    <w:rsid w:val="00D75CD7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2B08"/>
    <w:rsid w:val="00DE5139"/>
    <w:rsid w:val="00DE6133"/>
    <w:rsid w:val="00DF4F78"/>
    <w:rsid w:val="00DF61F0"/>
    <w:rsid w:val="00E05DE4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06645"/>
    <w:rsid w:val="00F10867"/>
    <w:rsid w:val="00F156B2"/>
    <w:rsid w:val="00F17C52"/>
    <w:rsid w:val="00F17DFE"/>
    <w:rsid w:val="00F209D9"/>
    <w:rsid w:val="00F20D0C"/>
    <w:rsid w:val="00F25367"/>
    <w:rsid w:val="00F3018C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5C4"/>
    <w:rsid w:val="00FD0795"/>
    <w:rsid w:val="00FD08CF"/>
    <w:rsid w:val="00FD0ACE"/>
    <w:rsid w:val="00FD0E27"/>
    <w:rsid w:val="00FD197D"/>
    <w:rsid w:val="00FD3D8C"/>
    <w:rsid w:val="00FE1ACA"/>
    <w:rsid w:val="00FE348B"/>
    <w:rsid w:val="00FE38C2"/>
    <w:rsid w:val="00FE434A"/>
    <w:rsid w:val="00FE6BA3"/>
    <w:rsid w:val="00FE71CA"/>
    <w:rsid w:val="00FF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9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C25D4-51D4-4D76-B910-1E4AEB49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31</cp:revision>
  <cp:lastPrinted>2022-04-26T12:17:00Z</cp:lastPrinted>
  <dcterms:created xsi:type="dcterms:W3CDTF">2021-02-02T10:47:00Z</dcterms:created>
  <dcterms:modified xsi:type="dcterms:W3CDTF">2022-04-26T14:00:00Z</dcterms:modified>
</cp:coreProperties>
</file>