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>ТБО</w:t>
      </w:r>
      <w:proofErr w:type="gramStart"/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 </w:t>
      </w:r>
      <w:r w:rsidRPr="00553D64">
        <w:rPr>
          <w:b/>
          <w:i w:val="0"/>
          <w:sz w:val="24"/>
          <w:szCs w:val="24"/>
        </w:rPr>
        <w:t>,</w:t>
      </w:r>
      <w:proofErr w:type="gramEnd"/>
      <w:r w:rsidRPr="00553D64">
        <w:rPr>
          <w:b/>
          <w:i w:val="0"/>
          <w:sz w:val="24"/>
          <w:szCs w:val="24"/>
        </w:rPr>
        <w:t xml:space="preserve">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A776F8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A776F8">
              <w:rPr>
                <w:i w:val="0"/>
                <w:sz w:val="22"/>
                <w:szCs w:val="22"/>
              </w:rPr>
              <w:t>поставки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8C160E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25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25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EFF" w:rsidRDefault="002E1C24" w:rsidP="003A0EFF">
            <w:pPr>
              <w:jc w:val="left"/>
              <w:rPr>
                <w:i w:val="0"/>
                <w:sz w:val="22"/>
                <w:szCs w:val="22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3A0EFF">
              <w:rPr>
                <w:sz w:val="22"/>
                <w:szCs w:val="22"/>
              </w:rPr>
              <w:t>Проволока вязальная ГОСТ 3282-74,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Увязывание происходит в автоматическом режиме.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</w:p>
          <w:p w:rsidR="006B28CF" w:rsidRDefault="006B28C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Термически обработанная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– 3мм, (предельное отклонение 0,04 мм)</w:t>
            </w:r>
            <w:r w:rsidR="006B28CF">
              <w:rPr>
                <w:bCs/>
                <w:sz w:val="22"/>
                <w:szCs w:val="22"/>
              </w:rPr>
              <w:t xml:space="preserve"> или в </w:t>
            </w:r>
            <w:proofErr w:type="spellStart"/>
            <w:r w:rsidR="006B28CF">
              <w:rPr>
                <w:bCs/>
                <w:sz w:val="22"/>
                <w:szCs w:val="22"/>
              </w:rPr>
              <w:t>соответ</w:t>
            </w:r>
            <w:proofErr w:type="spellEnd"/>
            <w:r w:rsidR="006B28CF">
              <w:rPr>
                <w:bCs/>
                <w:sz w:val="22"/>
                <w:szCs w:val="22"/>
              </w:rPr>
              <w:t>. с ГОСТом,</w:t>
            </w:r>
          </w:p>
          <w:p w:rsidR="003A0EFF" w:rsidRPr="00A32B08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</w:t>
            </w:r>
            <w:r w:rsidR="006B28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 xml:space="preserve">0)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5629AC" w:rsidRPr="002E1C24" w:rsidRDefault="005629AC" w:rsidP="00A345A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550611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До </w:t>
            </w:r>
            <w:r w:rsidR="00994E50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0</w:t>
            </w:r>
            <w:r w:rsidR="005629A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тонн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в месяц</w:t>
            </w:r>
            <w:r w:rsidR="00B33F37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с </w:t>
            </w:r>
            <w:r w:rsidR="00B52363">
              <w:rPr>
                <w:rFonts w:eastAsia="Times New Roman"/>
                <w:i w:val="0"/>
                <w:sz w:val="24"/>
                <w:szCs w:val="24"/>
                <w:lang w:eastAsia="ar-SA"/>
              </w:rPr>
              <w:t>января по июнь 2020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год</w:t>
            </w:r>
            <w:r w:rsidR="009C4FF5">
              <w:rPr>
                <w:rFonts w:eastAsia="Times New Roman"/>
                <w:i w:val="0"/>
                <w:sz w:val="24"/>
                <w:szCs w:val="24"/>
                <w:lang w:eastAsia="ar-SA"/>
              </w:rPr>
              <w:t>а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Поставка осуществляется силами и за счет Поставщика</w:t>
      </w:r>
      <w:r w:rsidR="007A5A0D">
        <w:rPr>
          <w:i w:val="0"/>
        </w:rPr>
        <w:t xml:space="preserve"> по адресу нахождения объекта Заказчика</w:t>
      </w:r>
      <w:proofErr w:type="gramStart"/>
      <w:r w:rsidR="007A5A0D">
        <w:rPr>
          <w:i w:val="0"/>
        </w:rPr>
        <w:t xml:space="preserve"> </w:t>
      </w:r>
      <w:r w:rsidRPr="001A3CD3">
        <w:rPr>
          <w:i w:val="0"/>
        </w:rPr>
        <w:t>.</w:t>
      </w:r>
      <w:proofErr w:type="gramEnd"/>
      <w:r w:rsidRPr="001A3CD3">
        <w:rPr>
          <w:i w:val="0"/>
        </w:rPr>
        <w:t xml:space="preserve"> Стоимость</w:t>
      </w:r>
      <w:r w:rsidR="00550611">
        <w:rPr>
          <w:i w:val="0"/>
        </w:rPr>
        <w:t xml:space="preserve"> и цена за тонну</w:t>
      </w:r>
      <w:r w:rsidRPr="001A3CD3">
        <w:rPr>
          <w:i w:val="0"/>
        </w:rPr>
        <w:t>, указанн</w:t>
      </w:r>
      <w:r w:rsidR="00550611">
        <w:rPr>
          <w:i w:val="0"/>
        </w:rPr>
        <w:t>ые</w:t>
      </w:r>
      <w:r w:rsidRPr="001A3CD3">
        <w:rPr>
          <w:i w:val="0"/>
        </w:rPr>
        <w:t xml:space="preserve">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</w:t>
      </w:r>
      <w:r w:rsidR="004813C9">
        <w:rPr>
          <w:i w:val="0"/>
        </w:rPr>
        <w:t xml:space="preserve">Период поставки с момента заключения договора по </w:t>
      </w:r>
      <w:r w:rsidR="00B52363">
        <w:rPr>
          <w:i w:val="0"/>
        </w:rPr>
        <w:t>30.06.2020</w:t>
      </w:r>
      <w:r w:rsidR="004813C9">
        <w:rPr>
          <w:i w:val="0"/>
        </w:rPr>
        <w:t xml:space="preserve"> включительно.</w:t>
      </w:r>
    </w:p>
    <w:p w:rsidR="00550611" w:rsidRDefault="00550611" w:rsidP="001A3CD3">
      <w:pPr>
        <w:tabs>
          <w:tab w:val="left" w:pos="318"/>
        </w:tabs>
        <w:jc w:val="both"/>
        <w:rPr>
          <w:i w:val="0"/>
        </w:rPr>
      </w:pPr>
      <w:r>
        <w:rPr>
          <w:i w:val="0"/>
        </w:rPr>
        <w:t>Покупатель не несет ответственность за не</w:t>
      </w:r>
      <w:r w:rsidR="00DD430A">
        <w:rPr>
          <w:i w:val="0"/>
        </w:rPr>
        <w:t xml:space="preserve"> </w:t>
      </w:r>
      <w:r>
        <w:rPr>
          <w:i w:val="0"/>
        </w:rPr>
        <w:t>выборку товара.</w:t>
      </w:r>
    </w:p>
    <w:p w:rsidR="00A776F8" w:rsidRPr="001A3CD3" w:rsidRDefault="00A776F8" w:rsidP="001A3CD3">
      <w:pPr>
        <w:tabs>
          <w:tab w:val="left" w:pos="318"/>
        </w:tabs>
        <w:jc w:val="both"/>
        <w:rPr>
          <w:i w:val="0"/>
        </w:rPr>
      </w:pPr>
      <w:r w:rsidRPr="00A776F8">
        <w:rPr>
          <w:i w:val="0"/>
        </w:rPr>
        <w:t xml:space="preserve">Оплата </w:t>
      </w:r>
      <w:r>
        <w:rPr>
          <w:i w:val="0"/>
        </w:rPr>
        <w:t>за товар</w:t>
      </w:r>
      <w:bookmarkStart w:id="0" w:name="_GoBack"/>
      <w:bookmarkEnd w:id="0"/>
      <w:r w:rsidRPr="00A776F8">
        <w:rPr>
          <w:i w:val="0"/>
        </w:rPr>
        <w:t xml:space="preserve"> производится Покупателем на расчётный счёт Поставщика на основании выставленного счета в течение 60 (шестидесяти) банковских дней с момента подписания товарной накладной по каждой из поставок Поставщика в адрес Покупателя.</w:t>
      </w:r>
    </w:p>
    <w:sectPr w:rsidR="00A776F8" w:rsidRP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8D6" w:rsidRDefault="00D348D6" w:rsidP="00B6079C">
      <w:pPr>
        <w:spacing w:line="240" w:lineRule="auto"/>
      </w:pPr>
      <w:r>
        <w:separator/>
      </w:r>
    </w:p>
  </w:endnote>
  <w:endnote w:type="continuationSeparator" w:id="0">
    <w:p w:rsidR="00D348D6" w:rsidRDefault="00D348D6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8D6" w:rsidRDefault="00D348D6" w:rsidP="00B6079C">
      <w:pPr>
        <w:spacing w:line="240" w:lineRule="auto"/>
      </w:pPr>
      <w:r>
        <w:separator/>
      </w:r>
    </w:p>
  </w:footnote>
  <w:footnote w:type="continuationSeparator" w:id="0">
    <w:p w:rsidR="00D348D6" w:rsidRDefault="00D348D6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6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415C"/>
    <w:rsid w:val="00147622"/>
    <w:rsid w:val="00147EA7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776F8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2363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348D6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4BCD"/>
    <w:rsid w:val="00DA6A0B"/>
    <w:rsid w:val="00DA75BB"/>
    <w:rsid w:val="00DB0E27"/>
    <w:rsid w:val="00DC16D8"/>
    <w:rsid w:val="00DD430A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42B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DF757-E6BE-4CD9-8510-0EBECD45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13</cp:revision>
  <cp:lastPrinted>2019-05-24T06:18:00Z</cp:lastPrinted>
  <dcterms:created xsi:type="dcterms:W3CDTF">2018-10-19T12:46:00Z</dcterms:created>
  <dcterms:modified xsi:type="dcterms:W3CDTF">2019-12-13T10:06:00Z</dcterms:modified>
</cp:coreProperties>
</file>