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20</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r w:rsidR="00DE737C">
        <w:t xml:space="preserve">питьевую воду (далее – Товар) </w:t>
      </w:r>
      <w:r w:rsidRPr="00267BBD">
        <w:t>в соответствии с Техническим заданием (Приложение № 1 к Договору) и Спецификацией (Приложение № 2 к Договору).</w:t>
      </w:r>
    </w:p>
    <w:p w:rsidR="003A651C" w:rsidRPr="003A651C" w:rsidRDefault="003A651C" w:rsidP="003A651C">
      <w:pPr>
        <w:numPr>
          <w:ilvl w:val="0"/>
          <w:numId w:val="1"/>
        </w:numPr>
        <w:tabs>
          <w:tab w:val="num" w:pos="720"/>
          <w:tab w:val="left" w:pos="1260"/>
        </w:tabs>
        <w:autoSpaceDE w:val="0"/>
        <w:autoSpaceDN w:val="0"/>
        <w:adjustRightInd w:val="0"/>
        <w:ind w:left="0" w:firstLine="709"/>
        <w:jc w:val="both"/>
        <w:rPr>
          <w:b/>
          <w:bCs/>
        </w:rPr>
      </w:pPr>
      <w:r>
        <w:t xml:space="preserve">Товар должен соответствовать </w:t>
      </w:r>
      <w:r w:rsidRPr="003A651C">
        <w:rPr>
          <w:bCs/>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B3637B" w:rsidP="00913C5F">
      <w:pPr>
        <w:autoSpaceDE w:val="0"/>
        <w:autoSpaceDN w:val="0"/>
        <w:adjustRightInd w:val="0"/>
        <w:ind w:firstLine="709"/>
        <w:jc w:val="both"/>
      </w:pPr>
      <w:r w:rsidRPr="00267BBD">
        <w:t xml:space="preserve">1.3.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D71B71">
        <w:t xml:space="preserve"> ТБО</w:t>
      </w:r>
      <w:r w:rsidR="000D1617">
        <w:t>.</w:t>
      </w:r>
    </w:p>
    <w:p w:rsidR="00C913B2" w:rsidRDefault="00B3637B" w:rsidP="00913C5F">
      <w:pPr>
        <w:pStyle w:val="a3"/>
        <w:spacing w:after="0"/>
        <w:ind w:right="-143" w:firstLine="709"/>
        <w:rPr>
          <w:rFonts w:ascii="Times New Roman" w:hAnsi="Times New Roman"/>
          <w:color w:val="000000"/>
        </w:rPr>
      </w:pPr>
      <w:r>
        <w:rPr>
          <w:rFonts w:ascii="Times New Roman" w:hAnsi="Times New Roman"/>
          <w:color w:val="000000"/>
        </w:rPr>
        <w:t xml:space="preserve">1.4. </w:t>
      </w:r>
      <w:r w:rsidRPr="00AD7ECE">
        <w:rPr>
          <w:rFonts w:ascii="Times New Roman" w:hAnsi="Times New Roman"/>
          <w:color w:val="000000"/>
        </w:rPr>
        <w:t xml:space="preserve">В рамках исполнения </w:t>
      </w:r>
      <w:r w:rsidR="00C913B2">
        <w:rPr>
          <w:rFonts w:ascii="Times New Roman" w:hAnsi="Times New Roman"/>
          <w:color w:val="000000"/>
        </w:rPr>
        <w:t xml:space="preserve">обязательств, указанных в </w:t>
      </w:r>
      <w:r w:rsidRPr="00AD7ECE">
        <w:rPr>
          <w:rFonts w:ascii="Times New Roman" w:hAnsi="Times New Roman"/>
          <w:color w:val="000000"/>
        </w:rPr>
        <w:t xml:space="preserve">п.1.1. настоящего Договора поставка </w:t>
      </w:r>
      <w:r w:rsidRPr="00AD7ECE">
        <w:rPr>
          <w:rFonts w:ascii="Times New Roman" w:hAnsi="Times New Roman"/>
        </w:rPr>
        <w:t>Товара</w:t>
      </w:r>
      <w:r w:rsidR="00A67991">
        <w:rPr>
          <w:rFonts w:ascii="Times New Roman" w:hAnsi="Times New Roman"/>
        </w:rPr>
        <w:t xml:space="preserve"> </w:t>
      </w:r>
      <w:r w:rsidRPr="00AD7ECE">
        <w:rPr>
          <w:rFonts w:ascii="Times New Roman" w:hAnsi="Times New Roman"/>
        </w:rPr>
        <w:t>Покупателю</w:t>
      </w:r>
      <w:r w:rsidRPr="00AD7ECE">
        <w:rPr>
          <w:rFonts w:ascii="Times New Roman" w:hAnsi="Times New Roman"/>
          <w:color w:val="000000"/>
        </w:rPr>
        <w:t xml:space="preserve"> осуществляется</w:t>
      </w:r>
      <w:r w:rsidR="00C913B2">
        <w:rPr>
          <w:rFonts w:ascii="Times New Roman" w:hAnsi="Times New Roman"/>
          <w:color w:val="000000"/>
        </w:rPr>
        <w:t xml:space="preserve"> партиями по мере необходимости,</w:t>
      </w:r>
      <w:r w:rsidRPr="00AD7ECE">
        <w:rPr>
          <w:rFonts w:ascii="Times New Roman" w:hAnsi="Times New Roman"/>
          <w:color w:val="000000"/>
        </w:rPr>
        <w:t xml:space="preserve"> на основании </w:t>
      </w:r>
      <w:r w:rsidR="00DE737C">
        <w:rPr>
          <w:rFonts w:ascii="Times New Roman" w:hAnsi="Times New Roman"/>
          <w:color w:val="000000"/>
        </w:rPr>
        <w:t xml:space="preserve">устных </w:t>
      </w:r>
      <w:r w:rsidRPr="00AD7ECE">
        <w:rPr>
          <w:rFonts w:ascii="Times New Roman" w:hAnsi="Times New Roman"/>
          <w:color w:val="000000"/>
        </w:rPr>
        <w:t>Заявок</w:t>
      </w:r>
      <w:r w:rsidR="00C913B2">
        <w:rPr>
          <w:rFonts w:ascii="Times New Roman" w:hAnsi="Times New Roman"/>
          <w:color w:val="000000"/>
        </w:rPr>
        <w:t>.</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D71B71">
        <w:rPr>
          <w:bCs/>
        </w:rPr>
        <w:t>.</w:t>
      </w:r>
    </w:p>
    <w:p w:rsidR="00B3637B" w:rsidRPr="00D36E9C" w:rsidRDefault="009B5E7C" w:rsidP="00B3637B">
      <w:pPr>
        <w:tabs>
          <w:tab w:val="left" w:pos="720"/>
        </w:tabs>
        <w:ind w:firstLine="720"/>
        <w:jc w:val="both"/>
      </w:pPr>
      <w:r>
        <w:t>2.2</w:t>
      </w:r>
      <w:r w:rsidR="00B3637B" w:rsidRPr="00D36E9C">
        <w:t>.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9B5E7C" w:rsidP="00B3637B">
      <w:pPr>
        <w:tabs>
          <w:tab w:val="left" w:pos="720"/>
        </w:tabs>
        <w:autoSpaceDE w:val="0"/>
        <w:autoSpaceDN w:val="0"/>
        <w:adjustRightInd w:val="0"/>
        <w:ind w:firstLine="709"/>
        <w:jc w:val="both"/>
      </w:pPr>
      <w:r>
        <w:t>2.3</w:t>
      </w:r>
      <w:r w:rsidR="00B3637B" w:rsidRPr="00D36E9C">
        <w:t xml:space="preserve">. </w:t>
      </w:r>
      <w:proofErr w:type="gramStart"/>
      <w:r w:rsidR="00B3637B" w:rsidRPr="00D36E9C">
        <w:t>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по количеству и качеству товарных накладных (</w:t>
      </w:r>
      <w:r w:rsidR="005C3005">
        <w:t xml:space="preserve">далее по тексту - </w:t>
      </w:r>
      <w:r w:rsidR="00B3637B" w:rsidRPr="00D36E9C">
        <w:rPr>
          <w:color w:val="000000"/>
        </w:rPr>
        <w:t>фор</w:t>
      </w:r>
      <w:r w:rsidR="005873B1">
        <w:rPr>
          <w:color w:val="000000"/>
        </w:rPr>
        <w:t>ма № ТОРГ-</w:t>
      </w:r>
      <w:r w:rsidR="00B3637B" w:rsidRPr="00D36E9C">
        <w:rPr>
          <w:color w:val="000000"/>
        </w:rPr>
        <w:t>12</w:t>
      </w:r>
      <w:r w:rsidR="005718D5">
        <w:t>)</w:t>
      </w:r>
      <w:r w:rsidR="00C913B2">
        <w:t xml:space="preserve"> </w:t>
      </w:r>
      <w:r w:rsidR="005873B1">
        <w:t>в течение</w:t>
      </w:r>
      <w:r w:rsidR="00447D0E">
        <w:t xml:space="preserve"> </w:t>
      </w:r>
      <w:r>
        <w:t>1</w:t>
      </w:r>
      <w:r w:rsidR="00EB1F2A">
        <w:rPr>
          <w:lang w:eastAsia="ar-SA"/>
        </w:rPr>
        <w:t>5</w:t>
      </w:r>
      <w:r w:rsidR="00D71B71" w:rsidRPr="00D71B71">
        <w:rPr>
          <w:lang w:eastAsia="ar-SA"/>
        </w:rPr>
        <w:t xml:space="preserve"> (</w:t>
      </w:r>
      <w:r w:rsidR="00EB1F2A">
        <w:rPr>
          <w:lang w:eastAsia="ar-SA"/>
        </w:rPr>
        <w:t>пят</w:t>
      </w:r>
      <w:r>
        <w:rPr>
          <w:lang w:eastAsia="ar-SA"/>
        </w:rPr>
        <w:t>надцати</w:t>
      </w:r>
      <w:r w:rsidR="00D71B71" w:rsidRPr="00D71B71">
        <w:rPr>
          <w:lang w:eastAsia="ar-SA"/>
        </w:rPr>
        <w:t xml:space="preserve">)  </w:t>
      </w:r>
      <w:r w:rsidR="00EB1F2A">
        <w:rPr>
          <w:lang w:eastAsia="ar-SA"/>
        </w:rPr>
        <w:t>рабочих</w:t>
      </w:r>
      <w:r w:rsidR="00D71B71" w:rsidRPr="00D71B71">
        <w:rPr>
          <w:lang w:eastAsia="ar-SA"/>
        </w:rPr>
        <w:t xml:space="preserve">  дней</w:t>
      </w:r>
      <w:r w:rsidR="00D71B71" w:rsidRPr="00D36E9C">
        <w:t xml:space="preserve"> </w:t>
      </w:r>
      <w:r w:rsidR="00B3637B" w:rsidRPr="00D36E9C">
        <w:t xml:space="preserve">с даты получения Покупателем вышеуказанных документов и счета на оплату стоимости поставленного Товара с учетом условий, предусмотренных </w:t>
      </w:r>
      <w:r w:rsidR="00EB1F2A">
        <w:t>п.6</w:t>
      </w:r>
      <w:r w:rsidR="00C913B2">
        <w:t>.5</w:t>
      </w:r>
      <w:r w:rsidR="00B3637B" w:rsidRPr="00C64D6C">
        <w:t>.</w:t>
      </w:r>
      <w:proofErr w:type="gramEnd"/>
      <w:r w:rsidR="00B3637B" w:rsidRPr="00C64D6C">
        <w:t xml:space="preserve"> Договора.</w:t>
      </w:r>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9B5E7C" w:rsidP="00B3637B">
      <w:pPr>
        <w:widowControl w:val="0"/>
        <w:autoSpaceDE w:val="0"/>
        <w:autoSpaceDN w:val="0"/>
        <w:adjustRightInd w:val="0"/>
        <w:spacing w:line="260" w:lineRule="exact"/>
        <w:ind w:firstLine="709"/>
        <w:jc w:val="both"/>
      </w:pPr>
      <w:r>
        <w:t>2.4</w:t>
      </w:r>
      <w:r w:rsidR="00B3637B" w:rsidRPr="00D36E9C">
        <w:t xml:space="preserve">. </w:t>
      </w:r>
      <w:r w:rsidR="00B3637B"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00B3637B" w:rsidRPr="00D36E9C">
        <w:t xml:space="preserve">осле поставки всего объема Товара или </w:t>
      </w:r>
      <w:r w:rsidR="00B3637B" w:rsidRPr="00D36E9C">
        <w:rPr>
          <w:bCs/>
          <w:iCs/>
        </w:rPr>
        <w:t>по обращению одной из Сторон настоящего Договора</w:t>
      </w:r>
      <w:r w:rsidR="00B3637B"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ПОРЯДОК</w:t>
      </w:r>
      <w:r w:rsidRPr="00673684">
        <w:rPr>
          <w:b/>
          <w:bCs/>
          <w:color w:val="000000"/>
        </w:rPr>
        <w:t xml:space="preserve"> ПОСТАВКИ</w:t>
      </w:r>
      <w:r w:rsidR="006E0023">
        <w:rPr>
          <w:b/>
          <w:bCs/>
          <w:color w:val="000000"/>
        </w:rPr>
        <w:t xml:space="preserve"> И ПРИЕМКИ ТОВАРА</w:t>
      </w:r>
    </w:p>
    <w:p w:rsidR="00DE737C" w:rsidRDefault="00C913B2" w:rsidP="00844FF3">
      <w:pPr>
        <w:autoSpaceDE w:val="0"/>
        <w:autoSpaceDN w:val="0"/>
        <w:adjustRightInd w:val="0"/>
        <w:ind w:firstLine="709"/>
        <w:jc w:val="both"/>
      </w:pPr>
      <w:r>
        <w:t>3.1. По</w:t>
      </w:r>
      <w:r w:rsidR="00DE737C">
        <w:t xml:space="preserve">ставщик в течение </w:t>
      </w:r>
      <w:r w:rsidR="00B3637B">
        <w:t xml:space="preserve"> </w:t>
      </w:r>
      <w:r w:rsidR="00D71B71">
        <w:t>5 (пят</w:t>
      </w:r>
      <w:r w:rsidR="00DE737C">
        <w:t>и</w:t>
      </w:r>
      <w:r w:rsidR="00B3637B">
        <w:t xml:space="preserve">) рабочих дней </w:t>
      </w:r>
      <w:r w:rsidR="00DE737C">
        <w:t>со дня получения устной заявки от Покупателя осуществляет поставку партии Товара.</w:t>
      </w:r>
    </w:p>
    <w:p w:rsidR="006E0023" w:rsidRDefault="006E0023" w:rsidP="00844FF3">
      <w:pPr>
        <w:autoSpaceDE w:val="0"/>
        <w:autoSpaceDN w:val="0"/>
        <w:adjustRightInd w:val="0"/>
        <w:ind w:firstLine="709"/>
        <w:jc w:val="both"/>
      </w:pPr>
      <w:r>
        <w:t>3.2. Поставка товара осуществляется автоцистернами или кубовыми емкостями.</w:t>
      </w:r>
    </w:p>
    <w:p w:rsidR="007C3ED4" w:rsidRPr="009B5E7C" w:rsidRDefault="006E0023" w:rsidP="00913C5F">
      <w:pPr>
        <w:autoSpaceDE w:val="0"/>
        <w:autoSpaceDN w:val="0"/>
        <w:adjustRightInd w:val="0"/>
        <w:ind w:firstLine="709"/>
        <w:jc w:val="both"/>
      </w:pPr>
      <w:r w:rsidRPr="009B5E7C">
        <w:rPr>
          <w:bCs/>
        </w:rPr>
        <w:t>3.3.</w:t>
      </w:r>
      <w:r w:rsidR="0027631F" w:rsidRPr="009B5E7C">
        <w:t xml:space="preserve"> Приемка Товара</w:t>
      </w:r>
      <w:r w:rsidR="007C3ED4" w:rsidRPr="009B5E7C">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lastRenderedPageBreak/>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6E0023" w:rsidP="00913C5F">
      <w:pPr>
        <w:tabs>
          <w:tab w:val="left" w:pos="1134"/>
        </w:tabs>
        <w:ind w:firstLine="709"/>
        <w:contextualSpacing/>
        <w:jc w:val="both"/>
      </w:pPr>
      <w:r>
        <w:t>3.4.</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BE29D2">
        <w:rPr>
          <w:color w:val="000000"/>
        </w:rPr>
        <w:t>ТОРГ-12, счет-фактуру и счет на оплату</w:t>
      </w:r>
      <w:r w:rsidR="00C64D6C">
        <w:rPr>
          <w:color w:val="000000"/>
        </w:rPr>
        <w:t>,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E742CE" w:rsidRDefault="006E0023" w:rsidP="00913C5F">
      <w:pPr>
        <w:autoSpaceDE w:val="0"/>
        <w:autoSpaceDN w:val="0"/>
        <w:adjustRightInd w:val="0"/>
        <w:ind w:firstLine="709"/>
        <w:jc w:val="both"/>
      </w:pPr>
      <w:r>
        <w:t>3.5.</w:t>
      </w:r>
      <w:r w:rsidR="00C5099D" w:rsidRPr="00D36E9C">
        <w:t xml:space="preserve"> </w:t>
      </w:r>
      <w:r w:rsidR="00E742CE" w:rsidRPr="00E742CE">
        <w:t xml:space="preserve">По итогам приемки Товара при наличии документов, указанных в п. </w:t>
      </w:r>
      <w:r w:rsidR="009B5E7C">
        <w:t>3.4.</w:t>
      </w:r>
      <w:r w:rsidR="00E742CE" w:rsidRPr="00E742CE">
        <w:t xml:space="preserve">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C5099D" w:rsidRPr="00D36E9C" w:rsidRDefault="006E0023" w:rsidP="00913C5F">
      <w:pPr>
        <w:tabs>
          <w:tab w:val="left" w:pos="180"/>
        </w:tabs>
        <w:autoSpaceDE w:val="0"/>
        <w:autoSpaceDN w:val="0"/>
        <w:adjustRightInd w:val="0"/>
        <w:ind w:firstLine="709"/>
        <w:jc w:val="both"/>
      </w:pPr>
      <w:r>
        <w:t>3.6.</w:t>
      </w:r>
      <w:r w:rsidR="00C5099D" w:rsidRPr="00D36E9C">
        <w:t xml:space="preserve">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005873B1">
        <w:rPr>
          <w:color w:val="000000"/>
        </w:rPr>
        <w:t>форма № 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0D1617" w:rsidP="00D26869">
      <w:pPr>
        <w:autoSpaceDE w:val="0"/>
        <w:autoSpaceDN w:val="0"/>
        <w:adjustRightInd w:val="0"/>
        <w:jc w:val="center"/>
        <w:rPr>
          <w:b/>
          <w:bCs/>
        </w:rPr>
      </w:pPr>
      <w:r>
        <w:rPr>
          <w:b/>
          <w:bCs/>
        </w:rPr>
        <w:t>4</w:t>
      </w:r>
      <w:r w:rsidR="007C3ED4" w:rsidRPr="00673684">
        <w:rPr>
          <w:b/>
          <w:bCs/>
        </w:rPr>
        <w:t xml:space="preserve">. ПРАВА И ОБЯЗАННОСТИ СТОРОН </w:t>
      </w:r>
    </w:p>
    <w:p w:rsidR="007C3ED4" w:rsidRPr="000D1617" w:rsidRDefault="000D1617" w:rsidP="000D1617">
      <w:pPr>
        <w:tabs>
          <w:tab w:val="num" w:pos="1134"/>
          <w:tab w:val="num" w:pos="1778"/>
        </w:tabs>
        <w:ind w:left="709"/>
        <w:jc w:val="both"/>
        <w:rPr>
          <w:b/>
          <w:bCs/>
        </w:rPr>
      </w:pPr>
      <w:r w:rsidRPr="000D1617">
        <w:rPr>
          <w:b/>
        </w:rPr>
        <w:t xml:space="preserve">4.1. </w:t>
      </w:r>
      <w:r w:rsidR="00DE2260" w:rsidRPr="000D1617">
        <w:rPr>
          <w:b/>
        </w:rPr>
        <w:t>Покупатель</w:t>
      </w:r>
      <w:r w:rsidR="007C3ED4" w:rsidRPr="000D1617">
        <w:rPr>
          <w:b/>
          <w:bCs/>
        </w:rPr>
        <w:t xml:space="preserve"> вправе:</w:t>
      </w:r>
    </w:p>
    <w:p w:rsidR="007C3ED4" w:rsidRPr="00673684" w:rsidRDefault="000D1617" w:rsidP="00913C5F">
      <w:pPr>
        <w:tabs>
          <w:tab w:val="num" w:pos="0"/>
          <w:tab w:val="num" w:pos="5040"/>
        </w:tabs>
        <w:ind w:firstLine="709"/>
        <w:jc w:val="both"/>
      </w:pPr>
      <w:r>
        <w:t>4</w:t>
      </w:r>
      <w:r w:rsidR="007C3ED4" w:rsidRPr="00673684">
        <w:t>.1.1. Требовать от Поставщика надлежащего исполнения обязательств в соответствии с условиями Договора.</w:t>
      </w:r>
    </w:p>
    <w:p w:rsidR="007C3ED4" w:rsidRPr="00673684" w:rsidRDefault="000D1617" w:rsidP="00913C5F">
      <w:pPr>
        <w:tabs>
          <w:tab w:val="num" w:pos="0"/>
          <w:tab w:val="num" w:pos="5040"/>
        </w:tabs>
        <w:ind w:firstLine="709"/>
        <w:jc w:val="both"/>
      </w:pPr>
      <w:r>
        <w:t>4</w:t>
      </w:r>
      <w:r w:rsidR="007C3ED4" w:rsidRPr="00673684">
        <w:t xml:space="preserve">.1.2. Требовать от Поставщика представления надлежащим образом оформленных документов, указанных в </w:t>
      </w:r>
      <w:r w:rsidR="00BA316F" w:rsidRPr="00673684">
        <w:t xml:space="preserve">разделе </w:t>
      </w:r>
      <w:r>
        <w:t>3</w:t>
      </w:r>
      <w:r w:rsidR="007C3ED4" w:rsidRPr="00673684">
        <w:t xml:space="preserve"> Договора, подтверждающих исполнение обязательств в соответствии с условиями Договора.</w:t>
      </w:r>
    </w:p>
    <w:p w:rsidR="007C3ED4" w:rsidRPr="00673684" w:rsidRDefault="000D1617" w:rsidP="000D1617">
      <w:pPr>
        <w:tabs>
          <w:tab w:val="left" w:pos="1134"/>
          <w:tab w:val="num" w:pos="1778"/>
          <w:tab w:val="num" w:pos="3240"/>
        </w:tabs>
        <w:ind w:left="1418"/>
        <w:jc w:val="both"/>
        <w:rPr>
          <w:b/>
          <w:bCs/>
        </w:rPr>
      </w:pPr>
      <w:r>
        <w:rPr>
          <w:b/>
        </w:rPr>
        <w:t xml:space="preserve">4.2. </w:t>
      </w:r>
      <w:r w:rsidR="00DE2260" w:rsidRPr="00673684">
        <w:rPr>
          <w:b/>
        </w:rPr>
        <w:t>Покупатель</w:t>
      </w:r>
      <w:r w:rsidR="007C3ED4" w:rsidRPr="00673684">
        <w:rPr>
          <w:b/>
          <w:bCs/>
        </w:rPr>
        <w:t xml:space="preserve"> обязан:</w:t>
      </w:r>
    </w:p>
    <w:p w:rsidR="007C3ED4" w:rsidRPr="00673684" w:rsidRDefault="000D1617" w:rsidP="00913C5F">
      <w:pPr>
        <w:tabs>
          <w:tab w:val="num" w:pos="0"/>
          <w:tab w:val="left" w:pos="900"/>
        </w:tabs>
        <w:ind w:firstLine="709"/>
        <w:jc w:val="both"/>
      </w:pPr>
      <w:r>
        <w:t>4</w:t>
      </w:r>
      <w:r w:rsidR="007C3ED4" w:rsidRPr="00673684">
        <w:t xml:space="preserve">.2.1. Своевременно принять и оплатить </w:t>
      </w:r>
      <w:r w:rsidR="00F91F25" w:rsidRPr="00673684">
        <w:t>Товар</w:t>
      </w:r>
      <w:r w:rsidR="007C3ED4" w:rsidRPr="00673684">
        <w:t xml:space="preserve"> в соответствии с условиями Договора. </w:t>
      </w:r>
    </w:p>
    <w:p w:rsidR="007C3ED4" w:rsidRPr="00673684" w:rsidRDefault="000D1617" w:rsidP="00913C5F">
      <w:pPr>
        <w:tabs>
          <w:tab w:val="num" w:pos="0"/>
          <w:tab w:val="left" w:pos="720"/>
        </w:tabs>
        <w:ind w:firstLine="709"/>
        <w:rPr>
          <w:b/>
          <w:bCs/>
        </w:rPr>
      </w:pPr>
      <w:r>
        <w:rPr>
          <w:b/>
        </w:rPr>
        <w:t>4</w:t>
      </w:r>
      <w:r w:rsidR="007C3ED4" w:rsidRPr="00673684">
        <w:rPr>
          <w:b/>
        </w:rPr>
        <w:t xml:space="preserve">.3. </w:t>
      </w:r>
      <w:r w:rsidR="007C3ED4" w:rsidRPr="00673684">
        <w:rPr>
          <w:b/>
          <w:bCs/>
        </w:rPr>
        <w:t>Поставщик вправе:</w:t>
      </w:r>
    </w:p>
    <w:p w:rsidR="007C3ED4" w:rsidRPr="00673684" w:rsidRDefault="000D1617" w:rsidP="00913C5F">
      <w:pPr>
        <w:tabs>
          <w:tab w:val="num" w:pos="0"/>
          <w:tab w:val="left" w:pos="900"/>
        </w:tabs>
        <w:ind w:firstLine="709"/>
        <w:jc w:val="both"/>
      </w:pPr>
      <w:r>
        <w:t>4</w:t>
      </w:r>
      <w:r w:rsidR="007C3ED4" w:rsidRPr="00673684">
        <w:t>.3.1.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007C3ED4" w:rsidRPr="00673684">
        <w:t xml:space="preserve"> 2 Договора.</w:t>
      </w:r>
    </w:p>
    <w:p w:rsidR="007C3ED4" w:rsidRPr="00673684" w:rsidRDefault="000D1617" w:rsidP="00913C5F">
      <w:pPr>
        <w:pStyle w:val="ConsPlusNormal"/>
        <w:widowControl/>
        <w:tabs>
          <w:tab w:val="num" w:pos="0"/>
          <w:tab w:val="left" w:pos="720"/>
        </w:tabs>
        <w:ind w:firstLine="709"/>
        <w:jc w:val="both"/>
        <w:rPr>
          <w:rFonts w:ascii="Times New Roman" w:hAnsi="Times New Roman" w:cs="Times New Roman"/>
          <w:b/>
          <w:bCs/>
          <w:sz w:val="24"/>
          <w:szCs w:val="24"/>
        </w:rPr>
      </w:pPr>
      <w:r>
        <w:rPr>
          <w:rFonts w:ascii="Times New Roman" w:hAnsi="Times New Roman" w:cs="Times New Roman"/>
          <w:b/>
          <w:sz w:val="24"/>
          <w:szCs w:val="24"/>
        </w:rPr>
        <w:t>4</w:t>
      </w:r>
      <w:r w:rsidR="007C3ED4" w:rsidRPr="00673684">
        <w:rPr>
          <w:rFonts w:ascii="Times New Roman" w:hAnsi="Times New Roman" w:cs="Times New Roman"/>
          <w:b/>
          <w:sz w:val="24"/>
          <w:szCs w:val="24"/>
        </w:rPr>
        <w:t xml:space="preserve">.4. </w:t>
      </w:r>
      <w:r w:rsidR="007C3ED4" w:rsidRPr="00673684">
        <w:rPr>
          <w:rFonts w:ascii="Times New Roman" w:hAnsi="Times New Roman" w:cs="Times New Roman"/>
          <w:b/>
          <w:bCs/>
          <w:sz w:val="24"/>
          <w:szCs w:val="24"/>
        </w:rPr>
        <w:t>Поставщик обязан:</w:t>
      </w:r>
    </w:p>
    <w:p w:rsidR="007C3ED4" w:rsidRPr="00673684" w:rsidRDefault="000D1617"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007C3ED4" w:rsidRPr="00673684">
        <w:rPr>
          <w:rFonts w:ascii="Times New Roman" w:hAnsi="Times New Roman" w:cs="Times New Roman"/>
          <w:sz w:val="24"/>
          <w:szCs w:val="24"/>
        </w:rPr>
        <w:t xml:space="preserve">.4.1. Своевременно и надлежащим образом поставить </w:t>
      </w:r>
      <w:r w:rsidR="00F91F25" w:rsidRPr="00673684">
        <w:rPr>
          <w:rFonts w:ascii="Times New Roman" w:hAnsi="Times New Roman" w:cs="Times New Roman"/>
          <w:sz w:val="24"/>
          <w:szCs w:val="24"/>
        </w:rPr>
        <w:t>Товар</w:t>
      </w:r>
      <w:r w:rsidR="007C3ED4" w:rsidRPr="00673684">
        <w:rPr>
          <w:rFonts w:ascii="Times New Roman" w:hAnsi="Times New Roman" w:cs="Times New Roman"/>
          <w:sz w:val="24"/>
          <w:szCs w:val="24"/>
        </w:rPr>
        <w:t xml:space="preserve"> в соответствии с условиями Договора.</w:t>
      </w:r>
    </w:p>
    <w:p w:rsidR="007C3ED4" w:rsidRPr="00673684" w:rsidRDefault="000D1617" w:rsidP="00913C5F">
      <w:pPr>
        <w:tabs>
          <w:tab w:val="num" w:pos="0"/>
        </w:tabs>
        <w:autoSpaceDE w:val="0"/>
        <w:autoSpaceDN w:val="0"/>
        <w:adjustRightInd w:val="0"/>
        <w:ind w:firstLine="709"/>
        <w:jc w:val="both"/>
      </w:pPr>
      <w:r>
        <w:t>4</w:t>
      </w:r>
      <w:r w:rsidR="006E0023">
        <w:t>.4.2</w:t>
      </w:r>
      <w:r w:rsidR="007C3ED4" w:rsidRPr="00673684">
        <w:t xml:space="preserve">. Поставить </w:t>
      </w:r>
      <w:r w:rsidR="00640C64" w:rsidRPr="00673684">
        <w:t>Товар</w:t>
      </w:r>
      <w:r w:rsidR="007C3ED4" w:rsidRPr="00673684">
        <w:t xml:space="preserve"> </w:t>
      </w:r>
      <w:r w:rsidR="004649F4">
        <w:t xml:space="preserve">надлежащего качества </w:t>
      </w:r>
      <w:r w:rsidR="007C3ED4" w:rsidRPr="00673684">
        <w:t>в соответствии с требовани</w:t>
      </w:r>
      <w:r w:rsidR="00640C64" w:rsidRPr="00673684">
        <w:t>ями настоящего Д</w:t>
      </w:r>
      <w:r w:rsidR="007C3ED4"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007C3ED4" w:rsidRPr="00673684">
        <w:t>оговором сроки.</w:t>
      </w:r>
    </w:p>
    <w:p w:rsidR="000D1617" w:rsidRDefault="000D1617" w:rsidP="00913C5F">
      <w:pPr>
        <w:autoSpaceDE w:val="0"/>
        <w:autoSpaceDN w:val="0"/>
        <w:adjustRightInd w:val="0"/>
        <w:ind w:firstLine="709"/>
        <w:jc w:val="both"/>
      </w:pPr>
      <w:r>
        <w:t>4</w:t>
      </w:r>
      <w:r w:rsidR="006E0023">
        <w:t>.4.3</w:t>
      </w:r>
      <w:r w:rsidR="007C3ED4" w:rsidRPr="00673684">
        <w:t xml:space="preserve">. </w:t>
      </w:r>
      <w:r w:rsidR="00D03244">
        <w:t>П</w:t>
      </w:r>
      <w:r w:rsidR="007C3ED4" w:rsidRPr="00673684">
        <w:t xml:space="preserve">ередать </w:t>
      </w:r>
      <w:r w:rsidR="00DE2260" w:rsidRPr="00673684">
        <w:t>Покупателю</w:t>
      </w:r>
      <w:r w:rsidR="007C3ED4" w:rsidRPr="00673684">
        <w:t xml:space="preserve"> все документы, подтверждающие количество, качество</w:t>
      </w:r>
      <w:r>
        <w:t xml:space="preserve"> Товара</w:t>
      </w:r>
      <w:r w:rsidR="009F5FE5">
        <w:t xml:space="preserve"> в том числе </w:t>
      </w:r>
      <w:r w:rsidR="00E50C31" w:rsidRPr="00E50C31">
        <w:rPr>
          <w:bCs/>
        </w:rPr>
        <w:t>протокол</w:t>
      </w:r>
      <w:r w:rsidR="00E50C31">
        <w:rPr>
          <w:bCs/>
        </w:rPr>
        <w:t>ы</w:t>
      </w:r>
      <w:bookmarkStart w:id="0" w:name="_GoBack"/>
      <w:bookmarkEnd w:id="0"/>
      <w:r w:rsidR="00E50C31" w:rsidRPr="00E50C31">
        <w:rPr>
          <w:bCs/>
        </w:rPr>
        <w:t xml:space="preserve"> анализов по химическому и бактериологическому показателям</w:t>
      </w:r>
      <w:r>
        <w:t>.</w:t>
      </w:r>
    </w:p>
    <w:p w:rsidR="007C3ED4" w:rsidRPr="00673684" w:rsidRDefault="000D1617" w:rsidP="00913C5F">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007C3ED4" w:rsidRPr="00673684">
        <w:rPr>
          <w:rFonts w:ascii="Times New Roman" w:hAnsi="Times New Roman" w:cs="Times New Roman"/>
          <w:sz w:val="24"/>
          <w:szCs w:val="24"/>
        </w:rPr>
        <w:t>.4.</w:t>
      </w:r>
      <w:r>
        <w:rPr>
          <w:rFonts w:ascii="Times New Roman" w:hAnsi="Times New Roman" w:cs="Times New Roman"/>
          <w:sz w:val="24"/>
          <w:szCs w:val="24"/>
        </w:rPr>
        <w:t>4</w:t>
      </w:r>
      <w:r w:rsidR="007C3ED4"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0D1617" w:rsidP="00D26869">
      <w:pPr>
        <w:autoSpaceDE w:val="0"/>
        <w:autoSpaceDN w:val="0"/>
        <w:adjustRightInd w:val="0"/>
        <w:jc w:val="center"/>
        <w:rPr>
          <w:b/>
          <w:bCs/>
        </w:rPr>
      </w:pPr>
      <w:r>
        <w:rPr>
          <w:b/>
          <w:bCs/>
        </w:rPr>
        <w:t>5</w:t>
      </w:r>
      <w:r w:rsidR="007C3ED4" w:rsidRPr="00673684">
        <w:rPr>
          <w:b/>
          <w:bCs/>
        </w:rPr>
        <w:t>. ГАРАНТИИ</w:t>
      </w:r>
    </w:p>
    <w:p w:rsidR="00E50C31" w:rsidRDefault="000D1617" w:rsidP="000D1617">
      <w:pPr>
        <w:autoSpaceDE w:val="0"/>
        <w:autoSpaceDN w:val="0"/>
        <w:adjustRightInd w:val="0"/>
        <w:ind w:firstLine="709"/>
        <w:jc w:val="both"/>
        <w:rPr>
          <w:bCs/>
        </w:rPr>
      </w:pPr>
      <w:r>
        <w:t xml:space="preserve">5.1. </w:t>
      </w:r>
      <w:r w:rsidR="007C3ED4" w:rsidRPr="00673684">
        <w:t xml:space="preserve">Поставляемый </w:t>
      </w:r>
      <w:r w:rsidR="00F451F3" w:rsidRPr="00673684">
        <w:t>Товар</w:t>
      </w:r>
      <w:r w:rsidR="007C3ED4" w:rsidRPr="00673684">
        <w:t xml:space="preserve"> должен соответствовать </w:t>
      </w:r>
      <w:r w:rsidR="00E50C31" w:rsidRPr="00E50C31">
        <w:rPr>
          <w:bCs/>
        </w:rPr>
        <w:t>СанПиН 2.1.4.1074-01 «Питьевая вода. Гигиенические требования к качеству воды централизованных систем питьевого водоснабжения</w:t>
      </w:r>
      <w:r w:rsidR="00E50C31">
        <w:rPr>
          <w:bCs/>
        </w:rPr>
        <w:t xml:space="preserve"> и </w:t>
      </w:r>
      <w:proofErr w:type="gramStart"/>
      <w:r w:rsidR="00E50C31">
        <w:rPr>
          <w:bCs/>
        </w:rPr>
        <w:t>подтвержден</w:t>
      </w:r>
      <w:proofErr w:type="gramEnd"/>
      <w:r w:rsidR="00E50C31">
        <w:rPr>
          <w:bCs/>
        </w:rPr>
        <w:t xml:space="preserve"> протоколами анализов по химическому и </w:t>
      </w:r>
      <w:r w:rsidR="00E50C31" w:rsidRPr="00E50C31">
        <w:rPr>
          <w:bCs/>
        </w:rPr>
        <w:t>бактериологическ</w:t>
      </w:r>
      <w:r w:rsidR="00E50C31">
        <w:rPr>
          <w:bCs/>
        </w:rPr>
        <w:t>ому показателям на каждую партию поставляемого товара.</w:t>
      </w:r>
    </w:p>
    <w:p w:rsidR="007C3ED4" w:rsidRPr="00673684" w:rsidRDefault="007C3ED4" w:rsidP="00F933A3">
      <w:pPr>
        <w:autoSpaceDE w:val="0"/>
        <w:autoSpaceDN w:val="0"/>
        <w:adjustRightInd w:val="0"/>
        <w:rPr>
          <w:b/>
          <w:bCs/>
        </w:rPr>
      </w:pPr>
    </w:p>
    <w:p w:rsidR="007C3ED4" w:rsidRPr="00673684" w:rsidRDefault="000D1617" w:rsidP="00EF435D">
      <w:pPr>
        <w:autoSpaceDE w:val="0"/>
        <w:autoSpaceDN w:val="0"/>
        <w:adjustRightInd w:val="0"/>
        <w:jc w:val="center"/>
        <w:rPr>
          <w:b/>
          <w:bCs/>
        </w:rPr>
      </w:pPr>
      <w:r>
        <w:rPr>
          <w:b/>
          <w:bCs/>
        </w:rPr>
        <w:t>6</w:t>
      </w:r>
      <w:r w:rsidR="007C3ED4" w:rsidRPr="00673684">
        <w:rPr>
          <w:b/>
          <w:bCs/>
        </w:rPr>
        <w:t>. ОТВЕТСТВЕННОСТЬ СТОРОН</w:t>
      </w:r>
    </w:p>
    <w:p w:rsidR="00D01225" w:rsidRPr="00673684" w:rsidRDefault="000D1617" w:rsidP="005873B1">
      <w:pPr>
        <w:autoSpaceDE w:val="0"/>
        <w:autoSpaceDN w:val="0"/>
        <w:adjustRightInd w:val="0"/>
        <w:ind w:firstLine="709"/>
        <w:jc w:val="both"/>
      </w:pPr>
      <w:r>
        <w:t>6</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0D1617" w:rsidP="005873B1">
      <w:pPr>
        <w:autoSpaceDE w:val="0"/>
        <w:autoSpaceDN w:val="0"/>
        <w:adjustRightInd w:val="0"/>
        <w:ind w:firstLine="709"/>
        <w:jc w:val="both"/>
      </w:pPr>
      <w:r>
        <w:t>6</w:t>
      </w:r>
      <w:r w:rsidR="00D01225" w:rsidRPr="00673684">
        <w:t>.2. В случае просрочки исполнения Поставщиком своих обязательств по поставке Товара</w:t>
      </w:r>
      <w:r w:rsidR="004D4732">
        <w:t>, его части</w:t>
      </w:r>
      <w:r w:rsidR="00D01225" w:rsidRPr="00673684">
        <w:t xml:space="preserve"> в</w:t>
      </w:r>
      <w:r w:rsidR="00595208">
        <w:t xml:space="preserve"> срок, установленный разделом 3</w:t>
      </w:r>
      <w:r w:rsidR="00D01225" w:rsidRPr="00673684">
        <w:t xml:space="preserve"> н</w:t>
      </w:r>
      <w:r w:rsidR="00595208">
        <w:t>астоящего Договора, Покупатель</w:t>
      </w:r>
      <w:r w:rsidR="00D01225" w:rsidRPr="00673684">
        <w:t xml:space="preserve">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w:t>
      </w:r>
      <w:r>
        <w:t>стоимости партии Товара</w:t>
      </w:r>
      <w:r w:rsidR="00065B81">
        <w:t>.</w:t>
      </w:r>
    </w:p>
    <w:p w:rsidR="000D1617" w:rsidRDefault="000D1617" w:rsidP="005873B1">
      <w:pPr>
        <w:tabs>
          <w:tab w:val="left" w:pos="1080"/>
          <w:tab w:val="num" w:pos="1800"/>
        </w:tabs>
        <w:ind w:firstLine="709"/>
        <w:jc w:val="both"/>
      </w:pPr>
      <w:r>
        <w:lastRenderedPageBreak/>
        <w:t>6</w:t>
      </w:r>
      <w:r w:rsidR="004D4732">
        <w:t>.3</w:t>
      </w:r>
      <w:r w:rsidR="00A96390">
        <w:t xml:space="preserve">. </w:t>
      </w:r>
      <w:r w:rsidR="00D01225" w:rsidRPr="00673684">
        <w:t>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w:t>
      </w:r>
      <w:r>
        <w:t>.</w:t>
      </w:r>
    </w:p>
    <w:p w:rsidR="00D01225" w:rsidRDefault="000D1617" w:rsidP="005873B1">
      <w:pPr>
        <w:pStyle w:val="Style16"/>
        <w:widowControl/>
        <w:tabs>
          <w:tab w:val="left" w:pos="709"/>
        </w:tabs>
        <w:spacing w:line="240" w:lineRule="auto"/>
        <w:ind w:firstLine="709"/>
        <w:rPr>
          <w:rStyle w:val="FontStyle37"/>
        </w:rPr>
      </w:pPr>
      <w:r>
        <w:t>6</w:t>
      </w:r>
      <w:r w:rsidR="004D4732">
        <w:t>.5</w:t>
      </w:r>
      <w:r w:rsidR="005873B1">
        <w:t>. Покупатель</w:t>
      </w:r>
      <w:r w:rsidR="00D01225" w:rsidRPr="00673684">
        <w:rPr>
          <w:rStyle w:val="FontStyle37"/>
        </w:rPr>
        <w:t xml:space="preserve"> вправе в одностороннем порядке </w:t>
      </w:r>
      <w:r w:rsidR="00F933A3">
        <w:rPr>
          <w:rStyle w:val="FontStyle37"/>
        </w:rPr>
        <w:t>зачес</w:t>
      </w:r>
      <w:r>
        <w:rPr>
          <w:rStyle w:val="FontStyle37"/>
        </w:rPr>
        <w:t xml:space="preserve">ть </w:t>
      </w:r>
      <w:proofErr w:type="gramStart"/>
      <w:r>
        <w:rPr>
          <w:rStyle w:val="FontStyle37"/>
        </w:rPr>
        <w:t>начисленную</w:t>
      </w:r>
      <w:proofErr w:type="gramEnd"/>
      <w:r>
        <w:rPr>
          <w:rStyle w:val="FontStyle37"/>
        </w:rPr>
        <w:t xml:space="preserve"> Поставщику по п.6</w:t>
      </w:r>
      <w:r w:rsidR="00F933A3">
        <w:rPr>
          <w:rStyle w:val="FontStyle37"/>
        </w:rPr>
        <w:t>.2</w:t>
      </w:r>
      <w:r w:rsidR="00172EB7">
        <w:rPr>
          <w:rStyle w:val="FontStyle37"/>
        </w:rPr>
        <w:t>.</w:t>
      </w:r>
      <w:r>
        <w:rPr>
          <w:rStyle w:val="FontStyle37"/>
        </w:rPr>
        <w:t>, 6</w:t>
      </w:r>
      <w:r w:rsidR="004D4732">
        <w:rPr>
          <w:rStyle w:val="FontStyle37"/>
        </w:rPr>
        <w:t xml:space="preserve">.3. </w:t>
      </w:r>
      <w:r w:rsidR="00D01225" w:rsidRPr="00673684">
        <w:rPr>
          <w:rStyle w:val="FontStyle37"/>
        </w:rPr>
        <w:t xml:space="preserve">Договора неустойку и (или) пеню в счет частичного или полного исполнения обязательств </w:t>
      </w:r>
      <w:r w:rsidR="00D01225" w:rsidRPr="00673684">
        <w:t xml:space="preserve">Покупателя </w:t>
      </w:r>
      <w:r w:rsidR="00D01225" w:rsidRPr="00673684">
        <w:rPr>
          <w:rStyle w:val="FontStyle37"/>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00D01225" w:rsidRPr="00673684">
        <w:rPr>
          <w:rStyle w:val="FontStyle37"/>
        </w:rPr>
        <w:t>с даты получения</w:t>
      </w:r>
      <w:proofErr w:type="gramEnd"/>
      <w:r w:rsidR="00D01225" w:rsidRPr="00673684">
        <w:rPr>
          <w:rStyle w:val="FontStyle37"/>
        </w:rPr>
        <w:t xml:space="preserve"> Поставщиком указанного письменного заявления.</w:t>
      </w:r>
    </w:p>
    <w:p w:rsidR="004D4732" w:rsidRDefault="000D1617" w:rsidP="005873B1">
      <w:pPr>
        <w:pStyle w:val="Style16"/>
        <w:widowControl/>
        <w:tabs>
          <w:tab w:val="left" w:pos="709"/>
        </w:tabs>
        <w:spacing w:line="240" w:lineRule="auto"/>
        <w:ind w:firstLine="709"/>
        <w:rPr>
          <w:rFonts w:eastAsia="Times New Roman"/>
        </w:rPr>
      </w:pPr>
      <w:r>
        <w:rPr>
          <w:rStyle w:val="FontStyle37"/>
        </w:rPr>
        <w:t>6</w:t>
      </w:r>
      <w:r w:rsidR="004D4732">
        <w:rPr>
          <w:rStyle w:val="FontStyle37"/>
        </w:rPr>
        <w:t xml:space="preserve">.6. </w:t>
      </w:r>
      <w:r w:rsidR="004D4732" w:rsidRPr="004D4732">
        <w:rPr>
          <w:rFonts w:eastAsia="Times New Roman"/>
        </w:rPr>
        <w:t xml:space="preserve">Покупатель не несет ответственность за </w:t>
      </w:r>
      <w:proofErr w:type="spellStart"/>
      <w:r w:rsidR="004D4732" w:rsidRPr="004D4732">
        <w:rPr>
          <w:rFonts w:eastAsia="Times New Roman"/>
        </w:rPr>
        <w:t>невыборку</w:t>
      </w:r>
      <w:proofErr w:type="spellEnd"/>
      <w:r w:rsidR="004D4732" w:rsidRPr="004D4732">
        <w:rPr>
          <w:rFonts w:eastAsia="Times New Roman"/>
        </w:rPr>
        <w:t xml:space="preserve"> товара</w:t>
      </w:r>
      <w:r w:rsidR="004D4732">
        <w:rPr>
          <w:rFonts w:eastAsia="Times New Roman"/>
        </w:rPr>
        <w:t>.</w:t>
      </w:r>
    </w:p>
    <w:p w:rsidR="009B5E7C" w:rsidRPr="00673684" w:rsidRDefault="009B5E7C" w:rsidP="005873B1">
      <w:pPr>
        <w:pStyle w:val="Style16"/>
        <w:widowControl/>
        <w:tabs>
          <w:tab w:val="left" w:pos="709"/>
        </w:tabs>
        <w:spacing w:line="240" w:lineRule="auto"/>
        <w:ind w:firstLine="709"/>
        <w:rPr>
          <w:rStyle w:val="FontStyle37"/>
        </w:rPr>
      </w:pPr>
      <w:r>
        <w:rPr>
          <w:rFonts w:eastAsia="Times New Roman"/>
        </w:rPr>
        <w:t xml:space="preserve">6.7. </w:t>
      </w:r>
      <w:r>
        <w:t>В случае отказа По</w:t>
      </w:r>
      <w:r>
        <w:t>ставщика</w:t>
      </w:r>
      <w:r>
        <w:t xml:space="preserve"> в одностороннем порядке от исполнения договора, </w:t>
      </w:r>
      <w:r>
        <w:t>Поставщик</w:t>
      </w:r>
      <w:r>
        <w:t xml:space="preserve"> оплачивает </w:t>
      </w:r>
      <w:r>
        <w:t>Покупателю</w:t>
      </w:r>
      <w:r>
        <w:t xml:space="preserve"> штраф в размере 30% от </w:t>
      </w:r>
      <w:r>
        <w:t>цены Договора</w:t>
      </w:r>
      <w:r>
        <w:t>. Штраф По</w:t>
      </w:r>
      <w:r>
        <w:t>ставщик</w:t>
      </w:r>
      <w:r>
        <w:t xml:space="preserve"> перечисляет на расчетный счет </w:t>
      </w:r>
      <w:r>
        <w:t>Покупателя</w:t>
      </w:r>
      <w:r>
        <w:t xml:space="preserve"> в течение 5 (пяти) рабочих дней с момента одностороннего отказа.</w:t>
      </w:r>
    </w:p>
    <w:p w:rsidR="00C7498F" w:rsidRPr="00673684" w:rsidRDefault="00C7498F" w:rsidP="00B44B7F">
      <w:pPr>
        <w:autoSpaceDE w:val="0"/>
        <w:autoSpaceDN w:val="0"/>
        <w:adjustRightInd w:val="0"/>
        <w:jc w:val="both"/>
      </w:pPr>
    </w:p>
    <w:p w:rsidR="007C3ED4" w:rsidRPr="00673684" w:rsidRDefault="000D1617" w:rsidP="00EF435D">
      <w:pPr>
        <w:autoSpaceDE w:val="0"/>
        <w:autoSpaceDN w:val="0"/>
        <w:adjustRightInd w:val="0"/>
        <w:jc w:val="center"/>
        <w:rPr>
          <w:b/>
          <w:bCs/>
        </w:rPr>
      </w:pPr>
      <w:r>
        <w:rPr>
          <w:b/>
          <w:bCs/>
        </w:rPr>
        <w:t>7</w:t>
      </w:r>
      <w:r w:rsidR="007C3ED4" w:rsidRPr="00673684">
        <w:rPr>
          <w:b/>
          <w:bCs/>
        </w:rPr>
        <w:t>. ОБСТОЯТЕЛЬСТВА НЕПРЕОДОЛИМОЙ СИЛЫ</w:t>
      </w:r>
    </w:p>
    <w:p w:rsidR="007C3ED4" w:rsidRPr="00673684" w:rsidRDefault="000D1617" w:rsidP="006C2ECA">
      <w:pPr>
        <w:ind w:firstLine="709"/>
        <w:jc w:val="both"/>
        <w:rPr>
          <w:color w:val="000000"/>
        </w:rPr>
      </w:pPr>
      <w:r>
        <w:rPr>
          <w:color w:val="000000"/>
        </w:rPr>
        <w:t>7</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0D1617" w:rsidP="006C2ECA">
      <w:pPr>
        <w:ind w:firstLine="709"/>
        <w:jc w:val="both"/>
        <w:rPr>
          <w:color w:val="000000"/>
        </w:rPr>
      </w:pPr>
      <w:r>
        <w:rPr>
          <w:color w:val="000000"/>
        </w:rPr>
        <w:t>7</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0D1617" w:rsidP="006C2ECA">
      <w:pPr>
        <w:ind w:firstLine="709"/>
        <w:jc w:val="both"/>
        <w:rPr>
          <w:color w:val="000000"/>
        </w:rPr>
      </w:pPr>
      <w:r>
        <w:rPr>
          <w:color w:val="000000"/>
        </w:rPr>
        <w:t>7</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0D1617" w:rsidP="006C2ECA">
      <w:pPr>
        <w:ind w:firstLine="709"/>
        <w:jc w:val="both"/>
        <w:rPr>
          <w:color w:val="000000"/>
        </w:rPr>
      </w:pPr>
      <w:r>
        <w:rPr>
          <w:color w:val="000000"/>
        </w:rPr>
        <w:t>7</w:t>
      </w:r>
      <w:r w:rsidR="007C3ED4" w:rsidRPr="00673684">
        <w:rPr>
          <w:color w:val="000000"/>
        </w:rPr>
        <w:t xml:space="preserve">.4. Если </w:t>
      </w:r>
      <w:r>
        <w:rPr>
          <w:color w:val="000000"/>
        </w:rPr>
        <w:t>обстоятельства, указанные в п. 7</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0D1617" w:rsidP="006C2ECA">
      <w:pPr>
        <w:jc w:val="center"/>
        <w:rPr>
          <w:b/>
          <w:color w:val="000000"/>
        </w:rPr>
      </w:pPr>
      <w:r>
        <w:rPr>
          <w:b/>
          <w:color w:val="000000"/>
        </w:rPr>
        <w:t>8</w:t>
      </w:r>
      <w:r w:rsidR="007C3ED4" w:rsidRPr="00673684">
        <w:rPr>
          <w:b/>
          <w:color w:val="000000"/>
        </w:rPr>
        <w:t>. ПОРЯДОК УРЕГУЛИРОВАНИЯ СПОРОВ</w:t>
      </w:r>
    </w:p>
    <w:p w:rsidR="007C3ED4" w:rsidRPr="00673684" w:rsidRDefault="000D1617" w:rsidP="006C2ECA">
      <w:pPr>
        <w:ind w:firstLine="709"/>
        <w:jc w:val="both"/>
        <w:rPr>
          <w:color w:val="000000"/>
        </w:rPr>
      </w:pPr>
      <w:r>
        <w:rPr>
          <w:color w:val="000000"/>
        </w:rPr>
        <w:t>8</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0D1617" w:rsidP="006C2ECA">
      <w:pPr>
        <w:ind w:firstLine="709"/>
        <w:jc w:val="both"/>
        <w:rPr>
          <w:color w:val="000000"/>
        </w:rPr>
      </w:pPr>
      <w:r>
        <w:rPr>
          <w:color w:val="000000"/>
        </w:rPr>
        <w:t>8</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0D1617" w:rsidP="006C2ECA">
      <w:pPr>
        <w:ind w:firstLine="709"/>
        <w:jc w:val="both"/>
        <w:rPr>
          <w:color w:val="000000"/>
        </w:rPr>
      </w:pPr>
      <w:r>
        <w:rPr>
          <w:color w:val="000000"/>
        </w:rPr>
        <w:t>8</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0D1617" w:rsidP="006C2ECA">
      <w:pPr>
        <w:jc w:val="center"/>
        <w:rPr>
          <w:b/>
          <w:color w:val="000000"/>
        </w:rPr>
      </w:pPr>
      <w:r>
        <w:rPr>
          <w:b/>
          <w:color w:val="000000"/>
        </w:rPr>
        <w:t>9</w:t>
      </w:r>
      <w:r w:rsidR="007C3ED4" w:rsidRPr="00673684">
        <w:rPr>
          <w:b/>
          <w:color w:val="000000"/>
        </w:rPr>
        <w:t>. СРОК ДЕЙСТВИЯ, ПОРЯДОК ИЗМЕНЕНИЯ ДОГОВОРА</w:t>
      </w:r>
    </w:p>
    <w:p w:rsidR="003A2903" w:rsidRPr="00673684" w:rsidRDefault="000D1617" w:rsidP="003A2903">
      <w:pPr>
        <w:ind w:firstLine="709"/>
        <w:jc w:val="both"/>
        <w:rPr>
          <w:color w:val="000000"/>
        </w:rPr>
      </w:pPr>
      <w:r>
        <w:rPr>
          <w:color w:val="000000"/>
        </w:rPr>
        <w:t>9</w:t>
      </w:r>
      <w:r w:rsidR="003A2903" w:rsidRPr="00673684">
        <w:rPr>
          <w:color w:val="000000"/>
        </w:rPr>
        <w:t>.1. Договор вступает в силу с</w:t>
      </w:r>
      <w:r w:rsidR="00BF5EAD">
        <w:rPr>
          <w:color w:val="000000"/>
        </w:rPr>
        <w:t xml:space="preserve">о дня его подписания Сторонами и действует по 31 декабря 2021 года, а части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BF5EAD" w:rsidP="005873B1">
      <w:pPr>
        <w:ind w:firstLine="709"/>
        <w:jc w:val="both"/>
        <w:rPr>
          <w:color w:val="000000"/>
        </w:rPr>
      </w:pPr>
      <w:r>
        <w:rPr>
          <w:color w:val="000000"/>
        </w:rPr>
        <w:t>9.2</w:t>
      </w:r>
      <w:r w:rsidR="003A2903" w:rsidRPr="00673684">
        <w:rPr>
          <w:color w:val="000000"/>
        </w:rPr>
        <w:t xml:space="preserve">.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w:t>
      </w:r>
      <w:r w:rsidR="003A2903" w:rsidRPr="00673684">
        <w:rPr>
          <w:color w:val="000000"/>
        </w:rPr>
        <w:lastRenderedPageBreak/>
        <w:t xml:space="preserve">соглашений к Договору </w:t>
      </w:r>
      <w:r w:rsidR="003A2903" w:rsidRPr="00673684">
        <w:t xml:space="preserve">в письменной форме в 2 (двух) экземплярах, имеющих одинаковую юридическую силу, по одному для Покупателя и Поставщика. </w:t>
      </w:r>
      <w:r w:rsidR="003A2903"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3A2903" w:rsidRPr="00673684" w:rsidRDefault="00BF5EAD" w:rsidP="003A2903">
      <w:pPr>
        <w:ind w:firstLine="709"/>
        <w:jc w:val="both"/>
        <w:rPr>
          <w:color w:val="000000"/>
        </w:rPr>
      </w:pPr>
      <w:r>
        <w:rPr>
          <w:color w:val="000000"/>
        </w:rPr>
        <w:t>9.3.</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w:t>
      </w:r>
      <w:proofErr w:type="gramStart"/>
      <w:r w:rsidR="003A2903" w:rsidRPr="00673684">
        <w:rPr>
          <w:color w:val="000000"/>
        </w:rPr>
        <w:t>одностороннем</w:t>
      </w:r>
      <w:proofErr w:type="gramEnd"/>
      <w:r w:rsidR="003A2903" w:rsidRPr="00673684">
        <w:rPr>
          <w:color w:val="000000"/>
        </w:rPr>
        <w:t xml:space="preserve"> внесудебном </w:t>
      </w:r>
      <w:r>
        <w:rPr>
          <w:color w:val="000000"/>
        </w:rPr>
        <w:t>уведомив Поставщика за 30 календарных дней.</w:t>
      </w:r>
    </w:p>
    <w:p w:rsidR="001A7BD8" w:rsidRPr="00C36B51" w:rsidRDefault="00BF5EAD"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9.4.</w:t>
      </w:r>
      <w:r w:rsidR="001A7BD8" w:rsidRPr="00C36B51">
        <w:rPr>
          <w:rFonts w:ascii="Times New Roman" w:hAnsi="Times New Roman" w:cs="Times New Roman"/>
          <w:sz w:val="24"/>
          <w:szCs w:val="24"/>
        </w:rPr>
        <w:t xml:space="preserve"> </w:t>
      </w:r>
      <w:r w:rsidR="001A7BD8" w:rsidRPr="00C36B51">
        <w:rPr>
          <w:rFonts w:ascii="Times New Roman" w:hAnsi="Times New Roman" w:cs="Times New Roman"/>
          <w:color w:val="000000"/>
          <w:sz w:val="24"/>
          <w:szCs w:val="24"/>
        </w:rPr>
        <w:t xml:space="preserve">Договор заключен </w:t>
      </w:r>
      <w:r w:rsidR="001A7BD8"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Техническое задание.</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BF5EAD" w:rsidRDefault="000C7966" w:rsidP="000C7966">
      <w:pPr>
        <w:numPr>
          <w:ilvl w:val="0"/>
          <w:numId w:val="9"/>
        </w:numPr>
        <w:spacing w:line="276" w:lineRule="auto"/>
        <w:contextualSpacing/>
        <w:jc w:val="center"/>
        <w:rPr>
          <w:rFonts w:eastAsia="Calibri"/>
          <w:b/>
          <w:lang w:eastAsia="en-US"/>
        </w:rPr>
      </w:pPr>
      <w:r w:rsidRPr="00BF5EAD">
        <w:rPr>
          <w:rFonts w:eastAsia="Calibri"/>
          <w:b/>
          <w:lang w:eastAsia="en-US"/>
        </w:rPr>
        <w:t xml:space="preserve">На поставку </w:t>
      </w:r>
      <w:r w:rsidR="00BF5EAD" w:rsidRPr="00BF5EAD">
        <w:rPr>
          <w:rFonts w:eastAsia="Calibri"/>
          <w:b/>
          <w:lang w:eastAsia="en-US"/>
        </w:rPr>
        <w:t>питьевой воды</w:t>
      </w:r>
      <w:r w:rsidR="00BF5EAD">
        <w:rPr>
          <w:rFonts w:eastAsia="Calibri"/>
          <w:b/>
          <w:lang w:eastAsia="en-US"/>
        </w:rPr>
        <w:t xml:space="preserve"> </w:t>
      </w:r>
      <w:r w:rsidR="00BF5EAD" w:rsidRPr="00BF5EAD">
        <w:rPr>
          <w:rFonts w:eastAsia="Calibri"/>
          <w:b/>
          <w:lang w:eastAsia="en-US"/>
        </w:rPr>
        <w:t>для нужд</w:t>
      </w:r>
      <w:r w:rsidRPr="00BF5EAD">
        <w:rPr>
          <w:rFonts w:eastAsia="Calibri"/>
          <w:b/>
          <w:lang w:eastAsia="en-US"/>
        </w:rPr>
        <w:t xml:space="preserve">  «С</w:t>
      </w:r>
      <w:r w:rsidRPr="00BF5EAD">
        <w:rPr>
          <w:rFonts w:eastAsia="Calibri"/>
          <w:b/>
          <w:color w:val="000000"/>
          <w:lang w:eastAsia="en-US"/>
        </w:rPr>
        <w:t>овременного сортировочного комплекса ТБО»</w:t>
      </w:r>
      <w:proofErr w:type="gramStart"/>
      <w:r w:rsidRPr="00BF5EAD">
        <w:rPr>
          <w:rFonts w:eastAsia="Calibri"/>
          <w:b/>
          <w:color w:val="000000"/>
          <w:lang w:eastAsia="en-US"/>
        </w:rPr>
        <w:t xml:space="preserve"> </w:t>
      </w:r>
      <w:r w:rsidRPr="00BF5EAD">
        <w:rPr>
          <w:rFonts w:eastAsia="Calibri"/>
          <w:b/>
          <w:lang w:eastAsia="en-US"/>
        </w:rPr>
        <w:t>,</w:t>
      </w:r>
      <w:proofErr w:type="gramEnd"/>
      <w:r w:rsidRPr="00BF5EAD">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«Современный сортировочный  комплекс ТБО»</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C7966" w:rsidRPr="000C7966" w:rsidTr="00A55004">
        <w:tc>
          <w:tcPr>
            <w:tcW w:w="9639"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BF5EAD" w:rsidRPr="000C7966" w:rsidTr="00FB6713">
        <w:trPr>
          <w:trHeight w:val="2186"/>
        </w:trPr>
        <w:tc>
          <w:tcPr>
            <w:tcW w:w="9639" w:type="dxa"/>
            <w:tcBorders>
              <w:top w:val="single" w:sz="4" w:space="0" w:color="auto"/>
              <w:left w:val="single" w:sz="4" w:space="0" w:color="auto"/>
              <w:right w:val="single" w:sz="4" w:space="0" w:color="auto"/>
            </w:tcBorders>
          </w:tcPr>
          <w:p w:rsidR="00BF5EAD" w:rsidRPr="00BF5EAD" w:rsidRDefault="00BF5EAD" w:rsidP="00BF5EAD">
            <w:pPr>
              <w:jc w:val="both"/>
              <w:rPr>
                <w:sz w:val="22"/>
                <w:szCs w:val="22"/>
              </w:rPr>
            </w:pPr>
            <w:r w:rsidRPr="00BF5EAD">
              <w:rPr>
                <w:sz w:val="22"/>
                <w:szCs w:val="22"/>
              </w:rPr>
              <w:t>Поставляемая вода и водовоз должны соответствовать требованиям:</w:t>
            </w:r>
          </w:p>
          <w:p w:rsidR="00BF5EAD" w:rsidRPr="00BF5EAD" w:rsidRDefault="00BF5EAD" w:rsidP="00BF5EAD">
            <w:pPr>
              <w:jc w:val="both"/>
              <w:rPr>
                <w:sz w:val="22"/>
                <w:szCs w:val="22"/>
              </w:rPr>
            </w:pPr>
            <w:r w:rsidRPr="00BF5EAD">
              <w:rPr>
                <w:sz w:val="22"/>
                <w:szCs w:val="22"/>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F5EAD" w:rsidRPr="00BF5EAD" w:rsidRDefault="00BF5EAD" w:rsidP="00BF5EAD">
            <w:pPr>
              <w:jc w:val="both"/>
              <w:rPr>
                <w:sz w:val="22"/>
                <w:szCs w:val="22"/>
              </w:rPr>
            </w:pPr>
            <w:r w:rsidRPr="00BF5EAD">
              <w:rPr>
                <w:sz w:val="22"/>
                <w:szCs w:val="22"/>
              </w:rPr>
              <w:t>- ФЗ Специальный технический регламент «О питьевой воде и питьевом водоснабжении».</w:t>
            </w:r>
          </w:p>
          <w:p w:rsidR="00BF5EAD" w:rsidRDefault="00BF5EAD" w:rsidP="00BF5EAD">
            <w:pPr>
              <w:jc w:val="both"/>
              <w:rPr>
                <w:sz w:val="22"/>
                <w:szCs w:val="22"/>
              </w:rPr>
            </w:pPr>
            <w:r w:rsidRPr="00BF5EAD">
              <w:rPr>
                <w:sz w:val="22"/>
                <w:szCs w:val="22"/>
              </w:rPr>
              <w:t xml:space="preserve">- </w:t>
            </w:r>
            <w:proofErr w:type="gramStart"/>
            <w:r w:rsidRPr="00BF5EAD">
              <w:rPr>
                <w:sz w:val="22"/>
                <w:szCs w:val="22"/>
              </w:rPr>
              <w:t>ТР</w:t>
            </w:r>
            <w:proofErr w:type="gramEnd"/>
            <w:r w:rsidRPr="00BF5EAD">
              <w:rPr>
                <w:sz w:val="22"/>
                <w:szCs w:val="22"/>
              </w:rPr>
              <w:t xml:space="preserve"> ЕАЭС 044/2017 Технический регламент Евразийского экономического союза «О безопасности упакованной питьевой воды, включая природную минеральную воду»</w:t>
            </w:r>
          </w:p>
          <w:p w:rsidR="00BF5EAD" w:rsidRPr="00BF5EAD" w:rsidRDefault="00BF5EAD" w:rsidP="00BF5EAD">
            <w:pPr>
              <w:jc w:val="both"/>
              <w:rPr>
                <w:sz w:val="22"/>
                <w:szCs w:val="22"/>
              </w:rPr>
            </w:pPr>
            <w:r w:rsidRPr="00BF5EAD">
              <w:rPr>
                <w:sz w:val="22"/>
                <w:szCs w:val="22"/>
              </w:rPr>
              <w:t>Поставка питьевой не бутилированной воды 8 м3/сутки (240 м3/месяц)</w:t>
            </w:r>
            <w:r>
              <w:rPr>
                <w:sz w:val="22"/>
                <w:szCs w:val="22"/>
              </w:rPr>
              <w:t xml:space="preserve"> из расчета с </w:t>
            </w:r>
            <w:r w:rsidR="00E85D73">
              <w:rPr>
                <w:sz w:val="22"/>
                <w:szCs w:val="22"/>
              </w:rPr>
              <w:t>октября</w:t>
            </w:r>
            <w:r>
              <w:rPr>
                <w:sz w:val="22"/>
                <w:szCs w:val="22"/>
              </w:rPr>
              <w:t xml:space="preserve"> 2020 года по декабрь 2021 года</w:t>
            </w:r>
          </w:p>
          <w:p w:rsidR="00BF5EAD" w:rsidRDefault="00BF5EAD" w:rsidP="005270E5">
            <w:pPr>
              <w:jc w:val="right"/>
              <w:rPr>
                <w:sz w:val="22"/>
                <w:szCs w:val="22"/>
              </w:rPr>
            </w:pPr>
          </w:p>
        </w:tc>
      </w:tr>
    </w:tbl>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BF5EAD" w:rsidP="00223F70">
            <w:pPr>
              <w:jc w:val="center"/>
              <w:rPr>
                <w:b/>
                <w:i/>
              </w:rPr>
            </w:pPr>
            <w:r>
              <w:rPr>
                <w:b/>
                <w:bCs/>
                <w:i/>
                <w:iCs/>
              </w:rPr>
              <w:t>Количество (м3</w:t>
            </w:r>
            <w:r w:rsidR="00130F35">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F5EAD">
            <w:pPr>
              <w:jc w:val="center"/>
              <w:rPr>
                <w:b/>
                <w:i/>
                <w:snapToGrid w:val="0"/>
                <w:color w:val="000000"/>
              </w:rPr>
            </w:pPr>
            <w:r w:rsidRPr="00172EB7">
              <w:rPr>
                <w:b/>
                <w:i/>
              </w:rPr>
              <w:t xml:space="preserve">Цена за </w:t>
            </w:r>
            <w:r w:rsidR="00BF5EAD">
              <w:rPr>
                <w:b/>
                <w:i/>
              </w:rPr>
              <w:t>м3</w:t>
            </w:r>
            <w:r w:rsidRPr="00172EB7">
              <w:rPr>
                <w:b/>
                <w:i/>
              </w:rPr>
              <w:t xml:space="preserve">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BF5EAD" w:rsidP="00F60ED8">
            <w:pPr>
              <w:jc w:val="center"/>
            </w:pPr>
            <w:r w:rsidRPr="00BF5EAD">
              <w:t>Питьевая вода</w:t>
            </w:r>
          </w:p>
        </w:tc>
        <w:tc>
          <w:tcPr>
            <w:tcW w:w="1842" w:type="dxa"/>
          </w:tcPr>
          <w:p w:rsidR="00130F35" w:rsidRDefault="00130F35" w:rsidP="00182017">
            <w:pPr>
              <w:jc w:val="center"/>
              <w:rPr>
                <w:bCs/>
              </w:rPr>
            </w:pPr>
          </w:p>
          <w:p w:rsidR="00130F35" w:rsidRPr="00172EB7" w:rsidRDefault="003B5618" w:rsidP="009753E7">
            <w:pPr>
              <w:jc w:val="center"/>
              <w:rPr>
                <w:bCs/>
              </w:rPr>
            </w:pPr>
            <w:r>
              <w:rPr>
                <w:bCs/>
              </w:rPr>
              <w:t>3</w:t>
            </w:r>
            <w:r w:rsidR="009753E7">
              <w:rPr>
                <w:bCs/>
              </w:rPr>
              <w:t>600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BE3A90" w:rsidRDefault="00BE3A90" w:rsidP="005E3D18">
      <w:pPr>
        <w:ind w:left="5760" w:firstLine="720"/>
        <w:jc w:val="right"/>
      </w:pPr>
    </w:p>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1F" w:rsidRDefault="009E001F" w:rsidP="005E4416">
      <w:r>
        <w:separator/>
      </w:r>
    </w:p>
  </w:endnote>
  <w:endnote w:type="continuationSeparator" w:id="0">
    <w:p w:rsidR="009E001F" w:rsidRDefault="009E001F"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E50C31">
          <w:rPr>
            <w:noProof/>
            <w:sz w:val="20"/>
            <w:szCs w:val="20"/>
          </w:rPr>
          <w:t>4</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1F" w:rsidRDefault="009E001F" w:rsidP="005E4416">
      <w:r>
        <w:separator/>
      </w:r>
    </w:p>
  </w:footnote>
  <w:footnote w:type="continuationSeparator" w:id="0">
    <w:p w:rsidR="009E001F" w:rsidRDefault="009E001F"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36A1"/>
    <w:rsid w:val="00093F5A"/>
    <w:rsid w:val="000A037D"/>
    <w:rsid w:val="000A1578"/>
    <w:rsid w:val="000B1C65"/>
    <w:rsid w:val="000B26DB"/>
    <w:rsid w:val="000B7D3B"/>
    <w:rsid w:val="000C7966"/>
    <w:rsid w:val="000D1617"/>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A651C"/>
    <w:rsid w:val="003B05AB"/>
    <w:rsid w:val="003B0B36"/>
    <w:rsid w:val="003B4209"/>
    <w:rsid w:val="003B496F"/>
    <w:rsid w:val="003B5618"/>
    <w:rsid w:val="003B56CA"/>
    <w:rsid w:val="003B60D4"/>
    <w:rsid w:val="003C1536"/>
    <w:rsid w:val="003C44A6"/>
    <w:rsid w:val="003D28E4"/>
    <w:rsid w:val="003D5009"/>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C3005"/>
    <w:rsid w:val="005D025E"/>
    <w:rsid w:val="005D60CD"/>
    <w:rsid w:val="005E3D18"/>
    <w:rsid w:val="005E4416"/>
    <w:rsid w:val="005F4BBF"/>
    <w:rsid w:val="005F536C"/>
    <w:rsid w:val="005F6ED1"/>
    <w:rsid w:val="005F7026"/>
    <w:rsid w:val="00620E80"/>
    <w:rsid w:val="00640C64"/>
    <w:rsid w:val="00645564"/>
    <w:rsid w:val="006511FD"/>
    <w:rsid w:val="00672462"/>
    <w:rsid w:val="00673684"/>
    <w:rsid w:val="00675CB7"/>
    <w:rsid w:val="006769BF"/>
    <w:rsid w:val="006818C1"/>
    <w:rsid w:val="00690019"/>
    <w:rsid w:val="00693BBB"/>
    <w:rsid w:val="006B27B6"/>
    <w:rsid w:val="006C08F6"/>
    <w:rsid w:val="006C2ECA"/>
    <w:rsid w:val="006C7D23"/>
    <w:rsid w:val="006D188D"/>
    <w:rsid w:val="006D42C7"/>
    <w:rsid w:val="006E0023"/>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B69E8"/>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009A"/>
    <w:rsid w:val="009419C1"/>
    <w:rsid w:val="00950276"/>
    <w:rsid w:val="00956B08"/>
    <w:rsid w:val="00960B34"/>
    <w:rsid w:val="00964A2B"/>
    <w:rsid w:val="00973552"/>
    <w:rsid w:val="00974F92"/>
    <w:rsid w:val="009753E7"/>
    <w:rsid w:val="009759A9"/>
    <w:rsid w:val="00980D62"/>
    <w:rsid w:val="0098181F"/>
    <w:rsid w:val="00981FBE"/>
    <w:rsid w:val="00983587"/>
    <w:rsid w:val="0099141A"/>
    <w:rsid w:val="0099408D"/>
    <w:rsid w:val="009A3F3C"/>
    <w:rsid w:val="009B052B"/>
    <w:rsid w:val="009B3497"/>
    <w:rsid w:val="009B3BC8"/>
    <w:rsid w:val="009B3E6C"/>
    <w:rsid w:val="009B4F72"/>
    <w:rsid w:val="009B5E7C"/>
    <w:rsid w:val="009C2807"/>
    <w:rsid w:val="009D36A3"/>
    <w:rsid w:val="009E001F"/>
    <w:rsid w:val="009E28F7"/>
    <w:rsid w:val="009F58FD"/>
    <w:rsid w:val="009F5FE5"/>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5EAD"/>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E737C"/>
    <w:rsid w:val="00DF5096"/>
    <w:rsid w:val="00DF5ACE"/>
    <w:rsid w:val="00E16E63"/>
    <w:rsid w:val="00E30035"/>
    <w:rsid w:val="00E30681"/>
    <w:rsid w:val="00E32878"/>
    <w:rsid w:val="00E417F1"/>
    <w:rsid w:val="00E41C49"/>
    <w:rsid w:val="00E45BE6"/>
    <w:rsid w:val="00E50C31"/>
    <w:rsid w:val="00E71AA4"/>
    <w:rsid w:val="00E742CE"/>
    <w:rsid w:val="00E75294"/>
    <w:rsid w:val="00E85D73"/>
    <w:rsid w:val="00E925E7"/>
    <w:rsid w:val="00E92B3E"/>
    <w:rsid w:val="00E9454C"/>
    <w:rsid w:val="00E9601F"/>
    <w:rsid w:val="00EB1F2A"/>
    <w:rsid w:val="00EB4F68"/>
    <w:rsid w:val="00EB569B"/>
    <w:rsid w:val="00EC1191"/>
    <w:rsid w:val="00EC618F"/>
    <w:rsid w:val="00EC7626"/>
    <w:rsid w:val="00ED2564"/>
    <w:rsid w:val="00ED4B94"/>
    <w:rsid w:val="00EE46A7"/>
    <w:rsid w:val="00EE6FD7"/>
    <w:rsid w:val="00EE75E6"/>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3142">
      <w:bodyDiv w:val="1"/>
      <w:marLeft w:val="0"/>
      <w:marRight w:val="0"/>
      <w:marTop w:val="0"/>
      <w:marBottom w:val="0"/>
      <w:divBdr>
        <w:top w:val="none" w:sz="0" w:space="0" w:color="auto"/>
        <w:left w:val="none" w:sz="0" w:space="0" w:color="auto"/>
        <w:bottom w:val="none" w:sz="0" w:space="0" w:color="auto"/>
        <w:right w:val="none" w:sz="0" w:space="0" w:color="auto"/>
      </w:divBdr>
    </w:div>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588587998">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F437A-4977-4435-A432-A76E01AD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24</cp:revision>
  <cp:lastPrinted>2020-09-07T07:59:00Z</cp:lastPrinted>
  <dcterms:created xsi:type="dcterms:W3CDTF">2019-08-07T06:05:00Z</dcterms:created>
  <dcterms:modified xsi:type="dcterms:W3CDTF">2020-09-07T11:10:00Z</dcterms:modified>
</cp:coreProperties>
</file>