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43049B" w:rsidP="00135CB7">
            <w:r w:rsidRPr="0043049B">
              <w:t>Трактор с бульдозерным оборудованием Б10М.0101Е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43049B" w:rsidP="00135CB7">
            <w:r w:rsidRPr="0043049B">
              <w:t>Трактор с бульдозерным оборудованием Б14.6020Е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43049B" w:rsidP="00135CB7">
            <w:r w:rsidRPr="0043049B">
              <w:t>Погрузчик ПК46.0001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43049B" w:rsidP="00135CB7">
            <w:r w:rsidRPr="0043049B">
              <w:t>Погрузчик ПК65.0001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43049B" w:rsidP="00135CB7">
            <w:r w:rsidRPr="0043049B">
              <w:t xml:space="preserve">Экскаватор полноповоротный </w:t>
            </w:r>
            <w:proofErr w:type="spellStart"/>
            <w:r w:rsidRPr="0043049B">
              <w:t>Hyundai</w:t>
            </w:r>
            <w:proofErr w:type="spellEnd"/>
            <w:r w:rsidRPr="0043049B">
              <w:t xml:space="preserve"> R220 LC-9S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6</w:t>
            </w:r>
          </w:p>
        </w:tc>
        <w:tc>
          <w:tcPr>
            <w:tcW w:w="7273" w:type="dxa"/>
            <w:shd w:val="clear" w:color="auto" w:fill="auto"/>
          </w:tcPr>
          <w:p w:rsidR="00DD28D6" w:rsidRPr="004300BA" w:rsidRDefault="0043049B" w:rsidP="00DD28D6">
            <w:r w:rsidRPr="0043049B">
              <w:t>Трактор с бульдозерным оборудованием</w:t>
            </w:r>
            <w:proofErr w:type="gramStart"/>
            <w:r w:rsidRPr="0043049B">
              <w:t xml:space="preserve"> Б</w:t>
            </w:r>
            <w:proofErr w:type="gramEnd"/>
            <w:r w:rsidRPr="0043049B">
              <w:t xml:space="preserve"> 10 М 0111-1Е</w:t>
            </w:r>
          </w:p>
        </w:tc>
        <w:tc>
          <w:tcPr>
            <w:tcW w:w="2126" w:type="dxa"/>
          </w:tcPr>
          <w:p w:rsidR="00DD28D6" w:rsidRPr="00E716EE" w:rsidRDefault="00DD28D6" w:rsidP="00230C72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7</w:t>
            </w:r>
          </w:p>
        </w:tc>
        <w:tc>
          <w:tcPr>
            <w:tcW w:w="7273" w:type="dxa"/>
            <w:shd w:val="clear" w:color="auto" w:fill="auto"/>
          </w:tcPr>
          <w:p w:rsidR="00DD28D6" w:rsidRPr="004300BA" w:rsidRDefault="0043049B" w:rsidP="00DD28D6">
            <w:r w:rsidRPr="0043049B">
              <w:t>Бульдозер</w:t>
            </w:r>
            <w:proofErr w:type="gramStart"/>
            <w:r w:rsidRPr="0043049B">
              <w:t xml:space="preserve"> Т</w:t>
            </w:r>
            <w:proofErr w:type="gramEnd"/>
            <w:r w:rsidRPr="0043049B">
              <w:t xml:space="preserve"> 330</w:t>
            </w:r>
          </w:p>
        </w:tc>
        <w:tc>
          <w:tcPr>
            <w:tcW w:w="2126" w:type="dxa"/>
          </w:tcPr>
          <w:p w:rsidR="00DD28D6" w:rsidRPr="00E716EE" w:rsidRDefault="00DD28D6" w:rsidP="00230C72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8</w:t>
            </w:r>
          </w:p>
        </w:tc>
        <w:tc>
          <w:tcPr>
            <w:tcW w:w="7273" w:type="dxa"/>
            <w:shd w:val="clear" w:color="auto" w:fill="auto"/>
          </w:tcPr>
          <w:p w:rsidR="00DD28D6" w:rsidRPr="004300BA" w:rsidRDefault="0043049B" w:rsidP="00DD28D6">
            <w:r w:rsidRPr="0043049B">
              <w:t xml:space="preserve">Автомобиль КО-503В-2 </w:t>
            </w:r>
            <w:proofErr w:type="gramStart"/>
            <w:r w:rsidRPr="0043049B">
              <w:t>вакуумная</w:t>
            </w:r>
            <w:proofErr w:type="gramEnd"/>
          </w:p>
        </w:tc>
        <w:tc>
          <w:tcPr>
            <w:tcW w:w="2126" w:type="dxa"/>
          </w:tcPr>
          <w:p w:rsidR="00DD28D6" w:rsidRPr="00E716EE" w:rsidRDefault="00DD28D6" w:rsidP="00230C72">
            <w:pPr>
              <w:jc w:val="center"/>
            </w:pPr>
            <w:r w:rsidRPr="00E716EE">
              <w:t>1 ед.</w:t>
            </w:r>
          </w:p>
        </w:tc>
      </w:tr>
      <w:tr w:rsidR="00DD28D6" w:rsidRPr="00E716EE" w:rsidTr="00986F66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D28D6" w:rsidRPr="00E716EE" w:rsidRDefault="00DD28D6" w:rsidP="00DD28D6">
            <w:pPr>
              <w:jc w:val="right"/>
            </w:pPr>
            <w:r>
              <w:t>9</w:t>
            </w:r>
          </w:p>
        </w:tc>
        <w:tc>
          <w:tcPr>
            <w:tcW w:w="7273" w:type="dxa"/>
            <w:shd w:val="clear" w:color="auto" w:fill="auto"/>
          </w:tcPr>
          <w:p w:rsidR="00DD28D6" w:rsidRDefault="0043049B" w:rsidP="00DD28D6">
            <w:proofErr w:type="spellStart"/>
            <w:r w:rsidRPr="0043049B">
              <w:t>Компактор</w:t>
            </w:r>
            <w:proofErr w:type="spellEnd"/>
            <w:r w:rsidRPr="0043049B">
              <w:t xml:space="preserve"> BOMAG BC 772 RB 2</w:t>
            </w:r>
          </w:p>
        </w:tc>
        <w:tc>
          <w:tcPr>
            <w:tcW w:w="2126" w:type="dxa"/>
          </w:tcPr>
          <w:p w:rsidR="00DD28D6" w:rsidRPr="00E716EE" w:rsidRDefault="00DD28D6" w:rsidP="00DD28D6">
            <w:pPr>
              <w:jc w:val="center"/>
            </w:pPr>
            <w:r>
              <w:t>1 ед.</w:t>
            </w:r>
          </w:p>
        </w:tc>
      </w:tr>
    </w:tbl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 xml:space="preserve">Передача техники происходит по акту приема передачи. </w:t>
      </w:r>
      <w:proofErr w:type="gramStart"/>
      <w:r w:rsidRPr="00863B0D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863B0D">
        <w:rPr>
          <w:rFonts w:ascii="Times New Roman" w:hAnsi="Times New Roman" w:cs="Times New Roman"/>
          <w:sz w:val="24"/>
          <w:szCs w:val="24"/>
        </w:rPr>
        <w:t xml:space="preserve"> отказавшаяся от подписания акта приема передачи обязана направить письменный мотивировочный отказ другой Стороне не позднее дня следующего за днем составления акта приема передачи. Акт приема 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>додателю на праве собственности,</w:t>
      </w:r>
      <w:r w:rsidR="00863B0D" w:rsidRPr="00863B0D">
        <w:rPr>
          <w:snapToGrid/>
          <w:sz w:val="24"/>
          <w:szCs w:val="24"/>
        </w:rPr>
        <w:t xml:space="preserve"> что подтверждается правоустанавливающими документами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</w:t>
      </w:r>
      <w:r w:rsidR="009150F1">
        <w:t>одится на территории Арендатора</w:t>
      </w:r>
      <w:r w:rsidR="00863B0D"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</w:t>
      </w:r>
      <w:r w:rsidR="009150F1">
        <w:t xml:space="preserve"> и не обременена каким-либо другим образом</w:t>
      </w:r>
      <w:r w:rsidRPr="001A06A0"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7478F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7478FA" w:rsidRPr="007478FA">
        <w:t>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срока, указанного в п.2.1.1. доставить Арендатору Технику до места ее эксплуатации по адресу: Нижегородская область, г. Дзержинск, шоссе Московское, 56, полигон «МАГ-1», а также вывезти Технику 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7 (семи) дней по окончании срока аренды либо  в случае досрочного расторжения (прекращения) договора по инициативе любой из сторон.</w:t>
      </w:r>
    </w:p>
    <w:p w:rsidR="004822AD" w:rsidRDefault="004822AD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4822AD">
        <w:t>2.1.</w:t>
      </w:r>
      <w:r w:rsidR="009150F1">
        <w:t>3</w:t>
      </w:r>
      <w:r w:rsidRPr="004822AD">
        <w:t xml:space="preserve">. Ежемесячно не позднее пятого числа месяца следующего за </w:t>
      </w:r>
      <w:proofErr w:type="gramStart"/>
      <w:r w:rsidRPr="004822AD">
        <w:t>отчетным</w:t>
      </w:r>
      <w:proofErr w:type="gramEnd"/>
      <w:r w:rsidRPr="004822AD">
        <w:t xml:space="preserve"> предоставлять Арендатору Акт оказанных услуг</w:t>
      </w:r>
      <w:r w:rsidR="009150F1">
        <w:t>, счет-фактуру и счет на оплату</w:t>
      </w:r>
      <w:r w:rsidRPr="004822AD">
        <w:t>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425D41" w:rsidRPr="00715CBC" w:rsidRDefault="00425D41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2.2.3.</w:t>
      </w:r>
      <w:r w:rsidRPr="00425D41">
        <w:rPr>
          <w:rFonts w:ascii="Times New Roman" w:hAnsi="Times New Roman" w:cs="Times New Roman"/>
          <w:sz w:val="24"/>
          <w:szCs w:val="24"/>
        </w:rPr>
        <w:t xml:space="preserve"> В одностороннем внесудебном порядке отказаться от исполнения договора, письменно уведомив об этом Аренд</w:t>
      </w:r>
      <w:r>
        <w:rPr>
          <w:rFonts w:ascii="Times New Roman" w:hAnsi="Times New Roman" w:cs="Times New Roman"/>
          <w:sz w:val="24"/>
          <w:szCs w:val="24"/>
        </w:rPr>
        <w:t>атора</w:t>
      </w:r>
      <w:r w:rsidRPr="00425D4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Арендуемая Техника должна быть возвращена в указанном случае не позднее даты расторжения (прекращения) договора, если более поздний срок не указан в уведомлении Аренд</w:t>
      </w:r>
      <w:r>
        <w:rPr>
          <w:rFonts w:ascii="Times New Roman" w:hAnsi="Times New Roman" w:cs="Times New Roman"/>
          <w:sz w:val="24"/>
          <w:szCs w:val="24"/>
        </w:rPr>
        <w:t>одателя</w:t>
      </w:r>
      <w:r w:rsidRPr="00425D41">
        <w:rPr>
          <w:rFonts w:ascii="Times New Roman" w:hAnsi="Times New Roman" w:cs="Times New Roman"/>
          <w:sz w:val="24"/>
          <w:szCs w:val="24"/>
        </w:rPr>
        <w:t>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9150F1">
        <w:rPr>
          <w:rFonts w:ascii="Times New Roman" w:hAnsi="Times New Roman" w:cs="Times New Roman"/>
          <w:sz w:val="24"/>
          <w:szCs w:val="24"/>
        </w:rPr>
        <w:t>, капитальный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EA2FE6">
        <w:rPr>
          <w:rFonts w:ascii="Times New Roman" w:hAnsi="Times New Roman" w:cs="Times New Roman"/>
          <w:sz w:val="24"/>
          <w:szCs w:val="24"/>
        </w:rPr>
        <w:t>,</w:t>
      </w:r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A2FE6">
        <w:rPr>
          <w:rFonts w:ascii="Times New Roman" w:hAnsi="Times New Roman" w:cs="Times New Roman"/>
          <w:sz w:val="24"/>
          <w:szCs w:val="24"/>
        </w:rPr>
        <w:t xml:space="preserve"> и страхование</w:t>
      </w:r>
      <w:r w:rsidR="00806FA9">
        <w:rPr>
          <w:rFonts w:ascii="Times New Roman" w:hAnsi="Times New Roman" w:cs="Times New Roman"/>
          <w:sz w:val="24"/>
          <w:szCs w:val="24"/>
        </w:rPr>
        <w:t xml:space="preserve"> Техники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4822AD" w:rsidP="004822AD">
      <w:pPr>
        <w:autoSpaceDE w:val="0"/>
        <w:autoSpaceDN w:val="0"/>
        <w:adjustRightInd w:val="0"/>
        <w:jc w:val="both"/>
      </w:pPr>
      <w:r w:rsidRPr="004822AD">
        <w:t>2.3.7. Рассмотреть Акт оказанных услуг в течени</w:t>
      </w:r>
      <w:proofErr w:type="gramStart"/>
      <w:r w:rsidRPr="004822AD">
        <w:t>и</w:t>
      </w:r>
      <w:proofErr w:type="gramEnd"/>
      <w:r w:rsidRPr="004822AD">
        <w:t xml:space="preserve"> 3-х рабочих дней с момента получения, подписать его, а в случае отказа от подписания направ</w:t>
      </w:r>
      <w:r w:rsidR="009150F1">
        <w:t>ить</w:t>
      </w:r>
      <w:r w:rsidRPr="004822AD">
        <w:t xml:space="preserve">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="009150F1" w:rsidRPr="009150F1">
        <w:rPr>
          <w:rFonts w:ascii="Times New Roman" w:hAnsi="Times New Roman" w:cs="Times New Roman"/>
          <w:sz w:val="24"/>
          <w:szCs w:val="24"/>
        </w:rPr>
        <w:t>В одностороннем внесудебном порядке отказаться от исполнения договора, письменно уведомив об этом Аренд</w:t>
      </w:r>
      <w:r w:rsidR="009150F1">
        <w:rPr>
          <w:rFonts w:ascii="Times New Roman" w:hAnsi="Times New Roman" w:cs="Times New Roman"/>
          <w:sz w:val="24"/>
          <w:szCs w:val="24"/>
        </w:rPr>
        <w:t>одателя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не менее чем за 30 (тридцать) календарных дней. Арендуем</w:t>
      </w:r>
      <w:r w:rsidR="009150F1">
        <w:rPr>
          <w:rFonts w:ascii="Times New Roman" w:hAnsi="Times New Roman" w:cs="Times New Roman"/>
          <w:sz w:val="24"/>
          <w:szCs w:val="24"/>
        </w:rPr>
        <w:t>ая Техника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="009150F1" w:rsidRPr="009150F1">
        <w:rPr>
          <w:rFonts w:ascii="Times New Roman" w:hAnsi="Times New Roman" w:cs="Times New Roman"/>
          <w:sz w:val="24"/>
          <w:szCs w:val="24"/>
        </w:rPr>
        <w:t xml:space="preserve"> в указанном случае не позднее даты расторжения (прекращения) договора, если более поздний срок не указан в уведомлении Аренд</w:t>
      </w:r>
      <w:r w:rsidR="009150F1">
        <w:rPr>
          <w:rFonts w:ascii="Times New Roman" w:hAnsi="Times New Roman" w:cs="Times New Roman"/>
          <w:sz w:val="24"/>
          <w:szCs w:val="24"/>
        </w:rPr>
        <w:t>атора</w:t>
      </w:r>
      <w:r w:rsidR="009150F1" w:rsidRPr="009150F1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DD28D6" w:rsidRPr="00231D8D" w:rsidRDefault="00280042" w:rsidP="00EA2FE6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 w:rsidR="00EA2FE6">
        <w:t xml:space="preserve">Годовая сумма арендной платы составляет </w:t>
      </w:r>
      <w:r w:rsidR="00EA2FE6" w:rsidRPr="00EA2FE6">
        <w:t>___________________________, в том числе НДС _______(либо НДС не облагается, в связи с применением Поставщиком, в соответствии со ст. 346.12 и 346.13 главы 26.2 НК РФ, упрощенной системы налогообложения), согласно Спецификации (Приложение № 2 к настоящему договору).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5E144E">
        <w:rPr>
          <w:rFonts w:ascii="Times New Roman" w:hAnsi="Times New Roman" w:cs="Times New Roman"/>
          <w:sz w:val="24"/>
          <w:szCs w:val="24"/>
        </w:rPr>
        <w:t>6</w:t>
      </w:r>
      <w:r w:rsidR="009B1E7A">
        <w:rPr>
          <w:rFonts w:ascii="Times New Roman" w:hAnsi="Times New Roman" w:cs="Times New Roman"/>
          <w:sz w:val="24"/>
          <w:szCs w:val="24"/>
        </w:rPr>
        <w:t>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5E144E">
        <w:rPr>
          <w:rFonts w:ascii="Times New Roman" w:hAnsi="Times New Roman" w:cs="Times New Roman"/>
          <w:sz w:val="24"/>
          <w:szCs w:val="24"/>
        </w:rPr>
        <w:t>шестидесяти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>рендатор после окончания Договора не возвращает арендованн</w:t>
      </w:r>
      <w:r w:rsidR="009150F1">
        <w:rPr>
          <w:rFonts w:ascii="Times New Roman" w:hAnsi="Times New Roman" w:cs="Times New Roman"/>
          <w:sz w:val="24"/>
          <w:szCs w:val="24"/>
        </w:rPr>
        <w:t>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или возвращает </w:t>
      </w:r>
      <w:r w:rsidR="009150F1">
        <w:rPr>
          <w:rFonts w:ascii="Times New Roman" w:hAnsi="Times New Roman" w:cs="Times New Roman"/>
          <w:sz w:val="24"/>
          <w:szCs w:val="24"/>
        </w:rPr>
        <w:t>ее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рендодатель вправе требовать внесения арендной платы за весь период фактического использования </w:t>
      </w:r>
      <w:r w:rsidR="009150F1">
        <w:rPr>
          <w:rFonts w:ascii="Times New Roman" w:hAnsi="Times New Roman" w:cs="Times New Roman"/>
          <w:sz w:val="24"/>
          <w:szCs w:val="24"/>
        </w:rPr>
        <w:t>Техникой</w:t>
      </w:r>
      <w:r w:rsidRPr="00E716EE">
        <w:rPr>
          <w:rFonts w:ascii="Times New Roman" w:hAnsi="Times New Roman" w:cs="Times New Roman"/>
          <w:sz w:val="24"/>
          <w:szCs w:val="24"/>
        </w:rPr>
        <w:t>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</w:t>
      </w:r>
      <w:r w:rsidRPr="002D36BC">
        <w:lastRenderedPageBreak/>
        <w:t xml:space="preserve">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</w:t>
      </w:r>
      <w:r w:rsidR="00577854">
        <w:t xml:space="preserve"> при наличии письменного требования Арендодателя</w:t>
      </w:r>
      <w:r w:rsidRPr="002D36BC">
        <w:t>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>Ответственность за вред, причинённый третьим лицам, арендованн</w:t>
      </w:r>
      <w:r w:rsidR="009150F1">
        <w:rPr>
          <w:rFonts w:ascii="Times New Roman" w:hAnsi="Times New Roman" w:cs="Times New Roman"/>
          <w:sz w:val="24"/>
          <w:szCs w:val="24"/>
        </w:rPr>
        <w:t>ой Техникой</w:t>
      </w:r>
      <w:r w:rsidRPr="00B64C27">
        <w:rPr>
          <w:rFonts w:ascii="Times New Roman" w:hAnsi="Times New Roman" w:cs="Times New Roman"/>
          <w:sz w:val="24"/>
          <w:szCs w:val="24"/>
        </w:rPr>
        <w:t xml:space="preserve">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</w:t>
      </w:r>
      <w:r w:rsidR="009150F1">
        <w:rPr>
          <w:rFonts w:ascii="Times New Roman" w:hAnsi="Times New Roman"/>
          <w:sz w:val="24"/>
          <w:szCs w:val="24"/>
        </w:rPr>
        <w:t xml:space="preserve">Арендодателя </w:t>
      </w:r>
      <w:r w:rsidRPr="001B4216">
        <w:rPr>
          <w:rFonts w:ascii="Times New Roman" w:hAnsi="Times New Roman"/>
          <w:sz w:val="24"/>
          <w:szCs w:val="24"/>
        </w:rPr>
        <w:t xml:space="preserve">от исполнения обязательств по настоящему Договору, </w:t>
      </w:r>
      <w:r w:rsidR="009150F1">
        <w:rPr>
          <w:rFonts w:ascii="Times New Roman" w:hAnsi="Times New Roman"/>
          <w:sz w:val="24"/>
          <w:szCs w:val="24"/>
        </w:rPr>
        <w:t>Арендодатель</w:t>
      </w:r>
      <w:r w:rsidRPr="001B4216">
        <w:rPr>
          <w:rFonts w:ascii="Times New Roman" w:hAnsi="Times New Roman"/>
          <w:sz w:val="24"/>
          <w:szCs w:val="24"/>
        </w:rPr>
        <w:t xml:space="preserve"> уплачивает </w:t>
      </w:r>
      <w:r w:rsidR="009150F1">
        <w:rPr>
          <w:rFonts w:ascii="Times New Roman" w:hAnsi="Times New Roman"/>
          <w:sz w:val="24"/>
          <w:szCs w:val="24"/>
        </w:rPr>
        <w:t>Арендатору</w:t>
      </w:r>
      <w:r w:rsidRPr="001B4216">
        <w:rPr>
          <w:rFonts w:ascii="Times New Roman" w:hAnsi="Times New Roman"/>
          <w:sz w:val="24"/>
          <w:szCs w:val="24"/>
        </w:rPr>
        <w:t xml:space="preserve">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 xml:space="preserve">от общей стоимости </w:t>
      </w:r>
      <w:r w:rsidR="009150F1">
        <w:rPr>
          <w:rFonts w:ascii="Times New Roman" w:hAnsi="Times New Roman"/>
          <w:sz w:val="24"/>
          <w:szCs w:val="24"/>
        </w:rPr>
        <w:t>аренды по Договору</w:t>
      </w:r>
      <w:r>
        <w:rPr>
          <w:rFonts w:ascii="Times New Roman" w:hAnsi="Times New Roman"/>
          <w:sz w:val="24"/>
          <w:szCs w:val="24"/>
        </w:rPr>
        <w:t>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777FDD">
        <w:rPr>
          <w:rFonts w:ascii="Times New Roman" w:hAnsi="Times New Roman" w:cs="Times New Roman"/>
          <w:sz w:val="24"/>
          <w:szCs w:val="24"/>
        </w:rPr>
        <w:t>Договор вступает в силу  01.01.2021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777FDD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>31.12.20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28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FDD">
        <w:rPr>
          <w:rFonts w:ascii="Times New Roman" w:hAnsi="Times New Roman" w:cs="Times New Roman"/>
          <w:color w:val="000000"/>
          <w:sz w:val="24"/>
          <w:szCs w:val="24"/>
        </w:rPr>
        <w:t>включительно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</w:t>
      </w:r>
      <w:r w:rsidR="009150F1">
        <w:rPr>
          <w:rFonts w:ascii="Times New Roman" w:hAnsi="Times New Roman" w:cs="Times New Roman"/>
          <w:sz w:val="24"/>
          <w:szCs w:val="24"/>
        </w:rPr>
        <w:t>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9150F1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lastRenderedPageBreak/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8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 xml:space="preserve">датель передал, а Арендатор принял </w:t>
      </w:r>
      <w:r w:rsidR="00C35349">
        <w:rPr>
          <w:rFonts w:ascii="Times New Roman" w:hAnsi="Times New Roman" w:cs="Times New Roman"/>
          <w:sz w:val="24"/>
          <w:szCs w:val="24"/>
        </w:rPr>
        <w:t>Технику</w:t>
      </w:r>
      <w:r w:rsidR="005056D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056D7">
        <w:rPr>
          <w:rFonts w:ascii="Times New Roman" w:hAnsi="Times New Roman" w:cs="Times New Roman"/>
          <w:sz w:val="24"/>
          <w:szCs w:val="24"/>
        </w:rPr>
        <w:t>указанное</w:t>
      </w:r>
      <w:proofErr w:type="gramEnd"/>
      <w:r w:rsidR="005056D7">
        <w:rPr>
          <w:rFonts w:ascii="Times New Roman" w:hAnsi="Times New Roman" w:cs="Times New Roman"/>
          <w:sz w:val="24"/>
          <w:szCs w:val="24"/>
        </w:rPr>
        <w:t xml:space="preserve">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</w:t>
      </w:r>
      <w:r w:rsidR="00F21A27">
        <w:rPr>
          <w:rFonts w:ascii="Times New Roman" w:hAnsi="Times New Roman" w:cs="Times New Roman"/>
          <w:sz w:val="24"/>
          <w:szCs w:val="24"/>
        </w:rPr>
        <w:t>спецтехники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16EE">
        <w:rPr>
          <w:rFonts w:ascii="Times New Roman" w:hAnsi="Times New Roman" w:cs="Times New Roman"/>
          <w:sz w:val="24"/>
          <w:szCs w:val="24"/>
        </w:rPr>
        <w:t>Переданное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Арендодателем </w:t>
      </w:r>
      <w:r w:rsidR="00C35349"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777FDD" w:rsidRPr="00777FDD" w:rsidTr="009F62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FDD" w:rsidRPr="00777FDD" w:rsidRDefault="00777FDD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77FD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77FD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FDD" w:rsidRPr="00777FDD" w:rsidRDefault="00777FDD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D" w:rsidRPr="00777FDD" w:rsidRDefault="00777FDD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FDD" w:rsidRPr="00777FDD" w:rsidRDefault="00777FDD" w:rsidP="00777FDD">
            <w:pPr>
              <w:jc w:val="center"/>
              <w:rPr>
                <w:color w:val="000000"/>
                <w:sz w:val="20"/>
                <w:szCs w:val="20"/>
              </w:rPr>
            </w:pPr>
            <w:r w:rsidRPr="00777FDD">
              <w:rPr>
                <w:color w:val="000000"/>
                <w:sz w:val="20"/>
                <w:szCs w:val="20"/>
              </w:rPr>
              <w:t>Годовой размер арендной платы (с учетом НДС)</w:t>
            </w:r>
          </w:p>
        </w:tc>
      </w:tr>
      <w:tr w:rsidR="00777FDD" w:rsidRPr="00777FDD" w:rsidTr="009F62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777FDD" w:rsidP="00777FDD">
            <w:pPr>
              <w:jc w:val="right"/>
              <w:rPr>
                <w:color w:val="000000"/>
              </w:rPr>
            </w:pPr>
            <w:bookmarkStart w:id="0" w:name="_GoBack" w:colFirst="1" w:colLast="1"/>
            <w:r w:rsidRPr="00777FD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8B303E" w:rsidP="00777FDD">
            <w:pPr>
              <w:jc w:val="both"/>
              <w:rPr>
                <w:color w:val="000000"/>
              </w:rPr>
            </w:pPr>
            <w:r w:rsidRPr="008B303E">
              <w:rPr>
                <w:color w:val="000000"/>
              </w:rPr>
              <w:t>Трактор с бульдозерным оборудованием Б10М.0101Е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D" w:rsidRPr="00777FDD" w:rsidRDefault="00777FDD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DD" w:rsidRPr="00777FDD" w:rsidRDefault="00777FDD" w:rsidP="00777FDD">
            <w:pPr>
              <w:jc w:val="center"/>
              <w:rPr>
                <w:color w:val="000000"/>
              </w:rPr>
            </w:pPr>
          </w:p>
        </w:tc>
      </w:tr>
      <w:tr w:rsidR="00777FDD" w:rsidRPr="00777FDD" w:rsidTr="009F62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777FDD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8B303E" w:rsidP="00777FDD">
            <w:pPr>
              <w:jc w:val="both"/>
              <w:rPr>
                <w:color w:val="000000"/>
              </w:rPr>
            </w:pPr>
            <w:r w:rsidRPr="008B303E">
              <w:rPr>
                <w:color w:val="000000"/>
              </w:rPr>
              <w:t>Трактор с бульдозерным оборудованием Б10М.0101Е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D" w:rsidRPr="00777FDD" w:rsidRDefault="00777FDD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DD" w:rsidRPr="00777FDD" w:rsidRDefault="00777FDD" w:rsidP="00777FDD">
            <w:pPr>
              <w:jc w:val="center"/>
            </w:pPr>
          </w:p>
        </w:tc>
      </w:tr>
      <w:tr w:rsidR="00777FDD" w:rsidRPr="00777FDD" w:rsidTr="009F62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777FDD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8B303E" w:rsidP="00777FDD">
            <w:pPr>
              <w:jc w:val="both"/>
              <w:rPr>
                <w:color w:val="000000"/>
              </w:rPr>
            </w:pPr>
            <w:r w:rsidRPr="008B303E">
              <w:rPr>
                <w:color w:val="000000"/>
              </w:rPr>
              <w:t>Трактор с бульдозерным оборудованием Б10М.0101Е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D" w:rsidRPr="00777FDD" w:rsidRDefault="00777FDD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FDD" w:rsidRPr="00777FDD" w:rsidRDefault="00777FDD" w:rsidP="00777FDD">
            <w:pPr>
              <w:jc w:val="center"/>
            </w:pPr>
          </w:p>
        </w:tc>
      </w:tr>
      <w:tr w:rsidR="00777FDD" w:rsidRPr="00777FDD" w:rsidTr="009F62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777FDD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8B303E" w:rsidP="00777FDD">
            <w:pPr>
              <w:jc w:val="both"/>
              <w:rPr>
                <w:color w:val="000000"/>
              </w:rPr>
            </w:pPr>
            <w:r w:rsidRPr="008B303E">
              <w:rPr>
                <w:color w:val="000000"/>
              </w:rPr>
              <w:t>Трактор с бульдозерным оборудованием Б14.6020Е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D" w:rsidRPr="00777FDD" w:rsidRDefault="00777FDD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DD" w:rsidRPr="00777FDD" w:rsidRDefault="00777FDD" w:rsidP="00777FDD">
            <w:pPr>
              <w:jc w:val="center"/>
              <w:rPr>
                <w:color w:val="000000"/>
              </w:rPr>
            </w:pPr>
          </w:p>
        </w:tc>
      </w:tr>
      <w:tr w:rsidR="00777FDD" w:rsidRPr="00777FDD" w:rsidTr="009F62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777FDD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FDD" w:rsidRPr="00777FDD" w:rsidRDefault="008B303E" w:rsidP="00777FDD">
            <w:pPr>
              <w:jc w:val="both"/>
              <w:rPr>
                <w:color w:val="000000"/>
              </w:rPr>
            </w:pPr>
            <w:r w:rsidRPr="008B303E">
              <w:rPr>
                <w:color w:val="000000"/>
              </w:rPr>
              <w:t>Трактор с бульдозерным оборудованием Б14.6020Е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DD" w:rsidRPr="00777FDD" w:rsidRDefault="00777FDD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FDD" w:rsidRPr="00777FDD" w:rsidRDefault="00777FDD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B71DB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03E" w:rsidRPr="00777FDD" w:rsidRDefault="008B303E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3E" w:rsidRPr="00E716EE" w:rsidRDefault="008B303E" w:rsidP="009F62D2">
            <w:r w:rsidRPr="0043049B">
              <w:t>Погрузчик ПК46.0001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3E" w:rsidRPr="00777FDD" w:rsidRDefault="008B303E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03E" w:rsidRPr="00777FDD" w:rsidRDefault="008B303E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B71DB4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03E" w:rsidRPr="00777FDD" w:rsidRDefault="008B303E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3E" w:rsidRPr="00E716EE" w:rsidRDefault="008B303E" w:rsidP="009F62D2">
            <w:r w:rsidRPr="0043049B">
              <w:t>Погрузчик ПК65.0001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3E" w:rsidRPr="00777FDD" w:rsidRDefault="008B303E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03E" w:rsidRPr="00777FDD" w:rsidRDefault="008B303E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9F62D2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03E" w:rsidRPr="00777FDD" w:rsidRDefault="008B303E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03E" w:rsidRPr="00E716EE" w:rsidRDefault="008B303E" w:rsidP="009F62D2">
            <w:r w:rsidRPr="0043049B">
              <w:t xml:space="preserve">Экскаватор полноповоротный </w:t>
            </w:r>
            <w:proofErr w:type="spellStart"/>
            <w:r w:rsidRPr="0043049B">
              <w:t>Hyundai</w:t>
            </w:r>
            <w:proofErr w:type="spellEnd"/>
            <w:r w:rsidRPr="0043049B">
              <w:t xml:space="preserve"> R220 LC-9S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3E" w:rsidRPr="00777FDD" w:rsidRDefault="008B303E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03E" w:rsidRPr="00777FDD" w:rsidRDefault="008B303E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9F62D2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03E" w:rsidRPr="00777FDD" w:rsidRDefault="008B303E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03E" w:rsidRPr="004300BA" w:rsidRDefault="008B303E" w:rsidP="009F62D2">
            <w:r w:rsidRPr="0043049B">
              <w:t>Трактор с бульдозерным оборудованием</w:t>
            </w:r>
            <w:proofErr w:type="gramStart"/>
            <w:r w:rsidRPr="0043049B">
              <w:t xml:space="preserve"> Б</w:t>
            </w:r>
            <w:proofErr w:type="gramEnd"/>
            <w:r w:rsidRPr="0043049B">
              <w:t xml:space="preserve"> 10 М 0111-1Е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3E" w:rsidRPr="00777FDD" w:rsidRDefault="008B303E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03E" w:rsidRPr="00777FDD" w:rsidRDefault="008B303E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9F62D2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03E" w:rsidRPr="00777FDD" w:rsidRDefault="008B303E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03E" w:rsidRPr="004300BA" w:rsidRDefault="008B303E" w:rsidP="009F62D2">
            <w:r w:rsidRPr="0043049B">
              <w:t>Бульдозер</w:t>
            </w:r>
            <w:proofErr w:type="gramStart"/>
            <w:r w:rsidRPr="0043049B">
              <w:t xml:space="preserve"> Т</w:t>
            </w:r>
            <w:proofErr w:type="gramEnd"/>
            <w:r w:rsidRPr="0043049B">
              <w:t xml:space="preserve"> 330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3E" w:rsidRPr="00777FDD" w:rsidRDefault="008B303E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03E" w:rsidRPr="00777FDD" w:rsidRDefault="008B303E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9F62D2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03E" w:rsidRPr="00777FDD" w:rsidRDefault="008B303E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03E" w:rsidRPr="004300BA" w:rsidRDefault="008B303E" w:rsidP="009F62D2">
            <w:r w:rsidRPr="0043049B">
              <w:t xml:space="preserve">Автомобиль КО-503В-2 </w:t>
            </w:r>
            <w:proofErr w:type="gramStart"/>
            <w:r w:rsidRPr="0043049B">
              <w:t>вакуумная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3E" w:rsidRPr="00777FDD" w:rsidRDefault="008B303E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03E" w:rsidRPr="00777FDD" w:rsidRDefault="008B303E" w:rsidP="00777FDD">
            <w:pPr>
              <w:jc w:val="center"/>
              <w:rPr>
                <w:color w:val="000000"/>
              </w:rPr>
            </w:pPr>
          </w:p>
        </w:tc>
      </w:tr>
      <w:tr w:rsidR="008B303E" w:rsidRPr="00777FDD" w:rsidTr="009F62D2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03E" w:rsidRPr="00777FDD" w:rsidRDefault="008B303E" w:rsidP="00777FDD">
            <w:pPr>
              <w:jc w:val="right"/>
              <w:rPr>
                <w:color w:val="000000"/>
              </w:rPr>
            </w:pPr>
            <w:r w:rsidRPr="00777FDD">
              <w:rPr>
                <w:color w:val="000000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303E" w:rsidRDefault="008B303E" w:rsidP="009F62D2">
            <w:proofErr w:type="spellStart"/>
            <w:r w:rsidRPr="0043049B">
              <w:t>Компактор</w:t>
            </w:r>
            <w:proofErr w:type="spellEnd"/>
            <w:r w:rsidRPr="0043049B">
              <w:t xml:space="preserve"> BOMAG BC 772 RB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03E" w:rsidRPr="00777FDD" w:rsidRDefault="008B303E" w:rsidP="00777FDD">
            <w:pPr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03E" w:rsidRPr="00777FDD" w:rsidRDefault="008B303E" w:rsidP="00777FDD">
            <w:pPr>
              <w:jc w:val="center"/>
              <w:rPr>
                <w:color w:val="000000"/>
              </w:rPr>
            </w:pPr>
          </w:p>
        </w:tc>
      </w:tr>
      <w:bookmarkEnd w:id="0"/>
      <w:tr w:rsidR="008B303E" w:rsidRPr="00777FDD" w:rsidTr="009F62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03E" w:rsidRPr="00777FDD" w:rsidRDefault="008B303E" w:rsidP="00777FDD">
            <w:pPr>
              <w:jc w:val="center"/>
              <w:rPr>
                <w:b/>
                <w:color w:val="000000"/>
              </w:rPr>
            </w:pPr>
            <w:r w:rsidRPr="00777FD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303E" w:rsidRPr="00777FDD" w:rsidRDefault="008B303E" w:rsidP="00777FDD">
            <w:pPr>
              <w:rPr>
                <w:b/>
                <w:color w:val="000000"/>
              </w:rPr>
            </w:pPr>
          </w:p>
        </w:tc>
      </w:tr>
    </w:tbl>
    <w:p w:rsidR="00777FDD" w:rsidRPr="00777FDD" w:rsidRDefault="00777FDD" w:rsidP="00777FDD">
      <w:pPr>
        <w:tabs>
          <w:tab w:val="left" w:pos="4198"/>
        </w:tabs>
        <w:jc w:val="both"/>
      </w:pPr>
    </w:p>
    <w:p w:rsidR="002C79F1" w:rsidRDefault="002C79F1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77FDD" w:rsidRPr="00231D8D" w:rsidRDefault="00777FDD" w:rsidP="00DD28D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D28D6">
        <w:trPr>
          <w:trHeight w:val="1941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DD28D6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93" w:rsidRDefault="000D1193">
      <w:r>
        <w:separator/>
      </w:r>
    </w:p>
  </w:endnote>
  <w:endnote w:type="continuationSeparator" w:id="0">
    <w:p w:rsidR="000D1193" w:rsidRDefault="000D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D467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93" w:rsidRDefault="000D1193">
      <w:r>
        <w:separator/>
      </w:r>
    </w:p>
  </w:footnote>
  <w:footnote w:type="continuationSeparator" w:id="0">
    <w:p w:rsidR="000D1193" w:rsidRDefault="000D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0D1193"/>
    <w:rsid w:val="000D1DEA"/>
    <w:rsid w:val="00141F48"/>
    <w:rsid w:val="00163D23"/>
    <w:rsid w:val="00167064"/>
    <w:rsid w:val="00182C5B"/>
    <w:rsid w:val="00195E3C"/>
    <w:rsid w:val="001A0663"/>
    <w:rsid w:val="001B7BFD"/>
    <w:rsid w:val="001D1B5E"/>
    <w:rsid w:val="001F6D6A"/>
    <w:rsid w:val="00231D8D"/>
    <w:rsid w:val="00251669"/>
    <w:rsid w:val="00257042"/>
    <w:rsid w:val="00272A38"/>
    <w:rsid w:val="00280042"/>
    <w:rsid w:val="002A3677"/>
    <w:rsid w:val="002C79F1"/>
    <w:rsid w:val="002F3A84"/>
    <w:rsid w:val="002F7697"/>
    <w:rsid w:val="003242B9"/>
    <w:rsid w:val="00343913"/>
    <w:rsid w:val="003547F9"/>
    <w:rsid w:val="003567D6"/>
    <w:rsid w:val="003D4D64"/>
    <w:rsid w:val="00425D41"/>
    <w:rsid w:val="0043049B"/>
    <w:rsid w:val="004447B0"/>
    <w:rsid w:val="004822AD"/>
    <w:rsid w:val="004E6483"/>
    <w:rsid w:val="005056D7"/>
    <w:rsid w:val="00534CB1"/>
    <w:rsid w:val="005569FA"/>
    <w:rsid w:val="00577854"/>
    <w:rsid w:val="005E144E"/>
    <w:rsid w:val="00632AA4"/>
    <w:rsid w:val="00664029"/>
    <w:rsid w:val="006B0FF8"/>
    <w:rsid w:val="006B4B64"/>
    <w:rsid w:val="0070399E"/>
    <w:rsid w:val="00704576"/>
    <w:rsid w:val="00713CEE"/>
    <w:rsid w:val="00715CBC"/>
    <w:rsid w:val="007478FA"/>
    <w:rsid w:val="00777FDD"/>
    <w:rsid w:val="00806FA9"/>
    <w:rsid w:val="008270D9"/>
    <w:rsid w:val="00851DCF"/>
    <w:rsid w:val="00863B0D"/>
    <w:rsid w:val="00867E8D"/>
    <w:rsid w:val="00887300"/>
    <w:rsid w:val="008A3075"/>
    <w:rsid w:val="008B303E"/>
    <w:rsid w:val="008C3962"/>
    <w:rsid w:val="00910847"/>
    <w:rsid w:val="009150F1"/>
    <w:rsid w:val="00925EEE"/>
    <w:rsid w:val="0096238A"/>
    <w:rsid w:val="009715B6"/>
    <w:rsid w:val="009B1E7A"/>
    <w:rsid w:val="009F31EF"/>
    <w:rsid w:val="00A86153"/>
    <w:rsid w:val="00AB6475"/>
    <w:rsid w:val="00AD4676"/>
    <w:rsid w:val="00AD4DA3"/>
    <w:rsid w:val="00AD5493"/>
    <w:rsid w:val="00B135C9"/>
    <w:rsid w:val="00B40C78"/>
    <w:rsid w:val="00B736A8"/>
    <w:rsid w:val="00B81FCA"/>
    <w:rsid w:val="00BB02C2"/>
    <w:rsid w:val="00BF5E82"/>
    <w:rsid w:val="00C27DC6"/>
    <w:rsid w:val="00C35349"/>
    <w:rsid w:val="00CD0430"/>
    <w:rsid w:val="00CF151C"/>
    <w:rsid w:val="00D03DED"/>
    <w:rsid w:val="00D0463E"/>
    <w:rsid w:val="00D16F32"/>
    <w:rsid w:val="00D225E7"/>
    <w:rsid w:val="00D23967"/>
    <w:rsid w:val="00D43737"/>
    <w:rsid w:val="00DA36B0"/>
    <w:rsid w:val="00DB3FB7"/>
    <w:rsid w:val="00DC5ADF"/>
    <w:rsid w:val="00DD28D6"/>
    <w:rsid w:val="00DF3103"/>
    <w:rsid w:val="00E01160"/>
    <w:rsid w:val="00E16ABA"/>
    <w:rsid w:val="00E675A6"/>
    <w:rsid w:val="00EA2FE6"/>
    <w:rsid w:val="00EA5F40"/>
    <w:rsid w:val="00EE5957"/>
    <w:rsid w:val="00F028FD"/>
    <w:rsid w:val="00F110C6"/>
    <w:rsid w:val="00F21A27"/>
    <w:rsid w:val="00F21C7E"/>
    <w:rsid w:val="00F23C6F"/>
    <w:rsid w:val="00F35F3C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31</cp:revision>
  <cp:lastPrinted>2020-12-01T09:18:00Z</cp:lastPrinted>
  <dcterms:created xsi:type="dcterms:W3CDTF">2017-05-31T11:28:00Z</dcterms:created>
  <dcterms:modified xsi:type="dcterms:W3CDTF">2020-12-01T13:12:00Z</dcterms:modified>
</cp:coreProperties>
</file>