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16FF652" w:rsidR="000A3497" w:rsidRPr="00B35B14" w:rsidRDefault="00A66BEE" w:rsidP="007E7B8B">
            <w:pPr>
              <w:rPr>
                <w:sz w:val="24"/>
                <w:szCs w:val="24"/>
              </w:rPr>
            </w:pPr>
            <w:r w:rsidRPr="00A66BEE">
              <w:rPr>
                <w:sz w:val="22"/>
                <w:szCs w:val="22"/>
              </w:rPr>
              <w:t xml:space="preserve">603089,  </w:t>
            </w:r>
            <w:proofErr w:type="spellStart"/>
            <w:r w:rsidRPr="00A66BEE">
              <w:rPr>
                <w:sz w:val="22"/>
                <w:szCs w:val="22"/>
              </w:rPr>
              <w:t>г.Н.Новгород</w:t>
            </w:r>
            <w:proofErr w:type="spellEnd"/>
            <w:r w:rsidRPr="00A66BEE">
              <w:rPr>
                <w:sz w:val="22"/>
                <w:szCs w:val="22"/>
              </w:rPr>
              <w:t xml:space="preserve">, </w:t>
            </w:r>
            <w:proofErr w:type="spellStart"/>
            <w:r w:rsidRPr="00A66BEE">
              <w:rPr>
                <w:sz w:val="22"/>
                <w:szCs w:val="22"/>
              </w:rPr>
              <w:t>ул</w:t>
            </w:r>
            <w:proofErr w:type="gramStart"/>
            <w:r w:rsidRPr="00A66BEE">
              <w:rPr>
                <w:sz w:val="22"/>
                <w:szCs w:val="22"/>
              </w:rPr>
              <w:t>.Г</w:t>
            </w:r>
            <w:proofErr w:type="gramEnd"/>
            <w:r w:rsidRPr="00A66BEE">
              <w:rPr>
                <w:sz w:val="22"/>
                <w:szCs w:val="22"/>
              </w:rPr>
              <w:t>аражная</w:t>
            </w:r>
            <w:proofErr w:type="spellEnd"/>
            <w:r w:rsidRPr="00A66BEE">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D40820" w:rsidR="000A3497" w:rsidRPr="00344E74" w:rsidRDefault="00A66BEE"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оказани</w:t>
            </w:r>
            <w:r w:rsidR="00FB2558">
              <w:rPr>
                <w:sz w:val="24"/>
                <w:szCs w:val="24"/>
              </w:rPr>
              <w:t>я</w:t>
            </w:r>
            <w:r w:rsidR="00FB2558" w:rsidRPr="00FB2558">
              <w:rPr>
                <w:sz w:val="24"/>
                <w:szCs w:val="24"/>
              </w:rPr>
              <w:t xml:space="preserve"> услуг по предоставлению в пользование и обслуживани</w:t>
            </w:r>
            <w:r w:rsidR="00FB2558">
              <w:rPr>
                <w:sz w:val="24"/>
                <w:szCs w:val="24"/>
              </w:rPr>
              <w:t>ю</w:t>
            </w:r>
            <w:r w:rsidR="00FB2558" w:rsidRPr="00FB2558">
              <w:rPr>
                <w:sz w:val="24"/>
                <w:szCs w:val="24"/>
              </w:rPr>
              <w:t xml:space="preserve"> средств индивидуальной защиты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защиты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7286C4F3" w:rsidR="007E7B8B" w:rsidRPr="00344E74" w:rsidRDefault="00C75E92" w:rsidP="007F3AEE">
            <w:pPr>
              <w:pStyle w:val="10"/>
              <w:jc w:val="both"/>
              <w:rPr>
                <w:rFonts w:ascii="Times New Roman" w:hAnsi="Times New Roman"/>
                <w:sz w:val="24"/>
                <w:szCs w:val="24"/>
              </w:rPr>
            </w:pPr>
            <w:proofErr w:type="gramStart"/>
            <w:r w:rsidRPr="00C75E92">
              <w:rPr>
                <w:rFonts w:ascii="Times New Roman" w:hAnsi="Times New Roman"/>
                <w:sz w:val="24"/>
                <w:szCs w:val="24"/>
              </w:rPr>
              <w:t>Нижегородская</w:t>
            </w:r>
            <w:proofErr w:type="gramEnd"/>
            <w:r w:rsidRPr="00C75E92">
              <w:rPr>
                <w:rFonts w:ascii="Times New Roman" w:hAnsi="Times New Roman"/>
                <w:sz w:val="24"/>
                <w:szCs w:val="24"/>
              </w:rPr>
              <w:t xml:space="preserve"> обл., г. Дзержинск, ш. Московское, 56, полигон «МАГ-1»</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6EFDE4BC" w14:textId="307F568D" w:rsidR="002E195E" w:rsidRPr="002E195E" w:rsidRDefault="00FC2FA5" w:rsidP="002E195E">
            <w:pPr>
              <w:jc w:val="both"/>
              <w:rPr>
                <w:bCs/>
                <w:sz w:val="24"/>
                <w:szCs w:val="24"/>
              </w:rPr>
            </w:pPr>
            <w:r>
              <w:rPr>
                <w:sz w:val="24"/>
                <w:szCs w:val="24"/>
              </w:rPr>
              <w:t>Максимальная</w:t>
            </w:r>
            <w:r w:rsidR="002E195E" w:rsidRPr="002E195E">
              <w:rPr>
                <w:sz w:val="24"/>
                <w:szCs w:val="24"/>
              </w:rPr>
              <w:t xml:space="preserve"> сумма </w:t>
            </w:r>
            <w:r w:rsidR="00C75E92" w:rsidRPr="00C75E92">
              <w:rPr>
                <w:sz w:val="24"/>
                <w:szCs w:val="24"/>
              </w:rPr>
              <w:t xml:space="preserve">3 001 928 рублей 00 копеек (Три миллиона одна тысяча девятьсот двадцать восемь рублей 00 копеек), в </w:t>
            </w:r>
            <w:proofErr w:type="spellStart"/>
            <w:r w:rsidR="00C75E92" w:rsidRPr="00C75E92">
              <w:rPr>
                <w:sz w:val="24"/>
                <w:szCs w:val="24"/>
              </w:rPr>
              <w:t>т.ч</w:t>
            </w:r>
            <w:proofErr w:type="spellEnd"/>
            <w:r w:rsidR="00C75E92" w:rsidRPr="00C75E92">
              <w:rPr>
                <w:sz w:val="24"/>
                <w:szCs w:val="24"/>
              </w:rPr>
              <w:t>. НДС 20% - 500 321,33 (Пятьсот тысяч триста двадцать один рубль 33 копеек)</w:t>
            </w:r>
            <w:r w:rsidR="002E195E" w:rsidRPr="002E195E">
              <w:rPr>
                <w:sz w:val="24"/>
                <w:szCs w:val="24"/>
              </w:rPr>
              <w:t xml:space="preserve"> и состоит </w:t>
            </w:r>
            <w:proofErr w:type="gramStart"/>
            <w:r w:rsidR="002E195E" w:rsidRPr="002E195E">
              <w:rPr>
                <w:sz w:val="24"/>
                <w:szCs w:val="24"/>
              </w:rPr>
              <w:t>из</w:t>
            </w:r>
            <w:proofErr w:type="gramEnd"/>
            <w:r w:rsidR="002E195E" w:rsidRPr="002E195E">
              <w:rPr>
                <w:sz w:val="24"/>
                <w:szCs w:val="24"/>
              </w:rPr>
              <w:t>:</w:t>
            </w:r>
          </w:p>
          <w:p w14:paraId="1D3CE441" w14:textId="6CEC6A0B" w:rsidR="002E195E" w:rsidRPr="002E195E" w:rsidRDefault="002E195E" w:rsidP="002E195E">
            <w:pPr>
              <w:jc w:val="both"/>
              <w:rPr>
                <w:bCs/>
                <w:sz w:val="24"/>
                <w:szCs w:val="24"/>
              </w:rPr>
            </w:pPr>
            <w:r w:rsidRPr="002E195E">
              <w:rPr>
                <w:bCs/>
                <w:sz w:val="24"/>
                <w:szCs w:val="24"/>
              </w:rPr>
              <w:t xml:space="preserve">- стоимости поставки товаров/изделий в размере </w:t>
            </w:r>
            <w:r w:rsidR="00C75E92" w:rsidRPr="00C75E92">
              <w:rPr>
                <w:bCs/>
                <w:sz w:val="24"/>
                <w:szCs w:val="24"/>
              </w:rPr>
              <w:t xml:space="preserve">616 576 рублей 00 копеек (Шестьсот шестнадцать тысяч пятьсот семьдесят шесть рублей 00 копеек), в </w:t>
            </w:r>
            <w:proofErr w:type="spellStart"/>
            <w:r w:rsidR="00C75E92" w:rsidRPr="00C75E92">
              <w:rPr>
                <w:bCs/>
                <w:sz w:val="24"/>
                <w:szCs w:val="24"/>
              </w:rPr>
              <w:t>т.ч</w:t>
            </w:r>
            <w:proofErr w:type="spellEnd"/>
            <w:r w:rsidR="00C75E92" w:rsidRPr="00C75E92">
              <w:rPr>
                <w:bCs/>
                <w:sz w:val="24"/>
                <w:szCs w:val="24"/>
              </w:rPr>
              <w:t>. НДС 20% - 123 315,20 (сто двадцать три тысячи триста пятнадцать рублей 20 копеек)</w:t>
            </w:r>
            <w:r w:rsidRPr="002E195E">
              <w:rPr>
                <w:bCs/>
                <w:sz w:val="24"/>
                <w:szCs w:val="24"/>
              </w:rPr>
              <w:t>;</w:t>
            </w:r>
          </w:p>
          <w:p w14:paraId="440D50EE" w14:textId="588B9A5D" w:rsidR="002E195E" w:rsidRPr="002E195E" w:rsidRDefault="002E195E" w:rsidP="002E195E">
            <w:pPr>
              <w:jc w:val="both"/>
              <w:rPr>
                <w:bCs/>
                <w:sz w:val="24"/>
                <w:szCs w:val="24"/>
              </w:rPr>
            </w:pPr>
            <w:r w:rsidRPr="002E195E">
              <w:rPr>
                <w:bCs/>
                <w:sz w:val="24"/>
                <w:szCs w:val="24"/>
              </w:rPr>
              <w:t xml:space="preserve">- </w:t>
            </w:r>
            <w:r w:rsidR="004B64E5" w:rsidRPr="004B64E5">
              <w:rPr>
                <w:bCs/>
                <w:sz w:val="24"/>
                <w:szCs w:val="24"/>
              </w:rPr>
              <w:t>стоимости услуг по предоставлению в пользование и обслуживание Изделий</w:t>
            </w:r>
            <w:r w:rsidRPr="002E195E">
              <w:rPr>
                <w:bCs/>
                <w:sz w:val="24"/>
                <w:szCs w:val="24"/>
              </w:rPr>
              <w:t xml:space="preserve"> в размере</w:t>
            </w:r>
            <w:r w:rsidRPr="002E195E">
              <w:rPr>
                <w:i/>
                <w:sz w:val="24"/>
                <w:szCs w:val="24"/>
              </w:rPr>
              <w:t xml:space="preserve"> </w:t>
            </w:r>
            <w:r w:rsidR="00C75E92" w:rsidRPr="00C75E92">
              <w:rPr>
                <w:bCs/>
                <w:sz w:val="24"/>
                <w:szCs w:val="24"/>
              </w:rPr>
              <w:t xml:space="preserve">2 385 352 рублей 00 копеек (Два миллиона триста восемьдесят пять тысяч триста пятьдесят два рубля 00 копеек), в </w:t>
            </w:r>
            <w:proofErr w:type="spellStart"/>
            <w:r w:rsidR="00C75E92" w:rsidRPr="00C75E92">
              <w:rPr>
                <w:bCs/>
                <w:sz w:val="24"/>
                <w:szCs w:val="24"/>
              </w:rPr>
              <w:t>т.ч</w:t>
            </w:r>
            <w:proofErr w:type="spellEnd"/>
            <w:r w:rsidR="00C75E92" w:rsidRPr="00C75E92">
              <w:rPr>
                <w:bCs/>
                <w:sz w:val="24"/>
                <w:szCs w:val="24"/>
              </w:rPr>
              <w:t>. НДС 20% 477 070,40 (Четыреста семьдесят семь тысяч семьдесят рублей 40 копеек)</w:t>
            </w:r>
            <w:r w:rsidRPr="002E195E">
              <w:rPr>
                <w:bCs/>
                <w:sz w:val="24"/>
                <w:szCs w:val="24"/>
              </w:rPr>
              <w:t>.</w:t>
            </w:r>
          </w:p>
          <w:p w14:paraId="25BE2C60" w14:textId="4255C1F0" w:rsidR="005E5340" w:rsidRPr="00802C7B" w:rsidRDefault="005E5340" w:rsidP="00812D36">
            <w:pPr>
              <w:pStyle w:val="a8"/>
              <w:jc w:val="both"/>
            </w:pP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310080FB"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w:t>
            </w:r>
            <w:r w:rsidRPr="00344E74">
              <w:rPr>
                <w:sz w:val="24"/>
                <w:szCs w:val="24"/>
              </w:rPr>
              <w:lastRenderedPageBreak/>
              <w:t>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34F3A72A" w:rsidR="00344E74" w:rsidRPr="00B35B14" w:rsidRDefault="001343B0" w:rsidP="00344E74">
            <w:pPr>
              <w:numPr>
                <w:ilvl w:val="0"/>
                <w:numId w:val="1"/>
              </w:numPr>
              <w:overflowPunct w:val="0"/>
              <w:autoSpaceDE w:val="0"/>
              <w:autoSpaceDN w:val="0"/>
              <w:adjustRightInd w:val="0"/>
              <w:ind w:left="0" w:firstLine="0"/>
              <w:jc w:val="both"/>
              <w:rPr>
                <w:sz w:val="24"/>
                <w:szCs w:val="24"/>
              </w:rPr>
            </w:pPr>
            <w:r w:rsidRPr="001343B0">
              <w:rPr>
                <w:sz w:val="24"/>
                <w:szCs w:val="24"/>
              </w:rPr>
              <w:t xml:space="preserve">Бухгалтерский баланс или иную отчетность, сдаваемую в ИФНС, лицами, находящимися на упрощенной системе </w:t>
            </w:r>
            <w:proofErr w:type="spellStart"/>
            <w:r w:rsidRPr="001343B0">
              <w:rPr>
                <w:sz w:val="24"/>
                <w:szCs w:val="24"/>
              </w:rPr>
              <w:t>налогооблажения</w:t>
            </w:r>
            <w:proofErr w:type="spellEnd"/>
            <w:r w:rsidRPr="001343B0">
              <w:rPr>
                <w:sz w:val="24"/>
                <w:szCs w:val="24"/>
              </w:rPr>
              <w:t xml:space="preserve"> на последнюю отчетную дату с отметкой налогового органа о получении.</w:t>
            </w:r>
            <w:r w:rsidR="00344E74" w:rsidRPr="00B35B14">
              <w:rPr>
                <w:sz w:val="24"/>
                <w:szCs w:val="24"/>
              </w:rPr>
              <w:t xml:space="preserve"> </w:t>
            </w:r>
          </w:p>
          <w:p w14:paraId="7D748921" w14:textId="19412B8C"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w:t>
            </w:r>
            <w:r w:rsidR="006934D2">
              <w:rPr>
                <w:sz w:val="24"/>
                <w:szCs w:val="24"/>
              </w:rPr>
              <w:t>, актов выполненных работ</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lastRenderedPageBreak/>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B37A7D5" w:rsidR="000665CF" w:rsidRPr="00642C80" w:rsidRDefault="006033FF" w:rsidP="00FC2FA5">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FC2FA5">
              <w:rPr>
                <w:sz w:val="24"/>
                <w:szCs w:val="24"/>
              </w:rPr>
              <w:t>11.12.2020</w:t>
            </w:r>
            <w:r w:rsidR="00B17C57" w:rsidRPr="00642C80">
              <w:rPr>
                <w:sz w:val="24"/>
                <w:szCs w:val="24"/>
              </w:rPr>
              <w:t xml:space="preserve"> по </w:t>
            </w:r>
            <w:r w:rsidR="00FC2FA5">
              <w:rPr>
                <w:sz w:val="24"/>
                <w:szCs w:val="24"/>
              </w:rPr>
              <w:t>18.12.2020</w:t>
            </w:r>
            <w:r w:rsidR="00B17C57" w:rsidRPr="00642C80">
              <w:rPr>
                <w:sz w:val="24"/>
                <w:szCs w:val="24"/>
              </w:rPr>
              <w:t xml:space="preserve"> - </w:t>
            </w:r>
            <w:r w:rsidR="000665CF" w:rsidRPr="00642C80">
              <w:rPr>
                <w:sz w:val="24"/>
                <w:szCs w:val="24"/>
              </w:rPr>
              <w:t xml:space="preserve">с </w:t>
            </w:r>
            <w:r w:rsidR="00043369">
              <w:rPr>
                <w:sz w:val="24"/>
                <w:szCs w:val="24"/>
              </w:rPr>
              <w:t>0</w:t>
            </w:r>
            <w:r w:rsidR="00A66BEE">
              <w:rPr>
                <w:sz w:val="24"/>
                <w:szCs w:val="24"/>
              </w:rPr>
              <w:t>8</w:t>
            </w:r>
            <w:r w:rsidR="00B17C57" w:rsidRPr="00642C80">
              <w:rPr>
                <w:sz w:val="24"/>
                <w:szCs w:val="24"/>
              </w:rPr>
              <w:t>.</w:t>
            </w:r>
            <w:r w:rsidR="00A66BEE">
              <w:rPr>
                <w:sz w:val="24"/>
                <w:szCs w:val="24"/>
              </w:rPr>
              <w:t>3</w:t>
            </w:r>
            <w:r w:rsidR="006C602E">
              <w:rPr>
                <w:sz w:val="24"/>
                <w:szCs w:val="24"/>
              </w:rPr>
              <w:t>0</w:t>
            </w:r>
            <w:r w:rsidR="000665CF" w:rsidRPr="00642C80">
              <w:rPr>
                <w:sz w:val="24"/>
                <w:szCs w:val="24"/>
              </w:rPr>
              <w:t xml:space="preserve"> до </w:t>
            </w:r>
            <w:r w:rsidR="006C602E">
              <w:rPr>
                <w:sz w:val="24"/>
                <w:szCs w:val="24"/>
              </w:rPr>
              <w:t>1</w:t>
            </w:r>
            <w:r w:rsidR="002E195E">
              <w:rPr>
                <w:sz w:val="24"/>
                <w:szCs w:val="24"/>
              </w:rPr>
              <w:t>7</w:t>
            </w:r>
            <w:r w:rsidR="000665CF" w:rsidRPr="00642C80">
              <w:rPr>
                <w:sz w:val="24"/>
                <w:szCs w:val="24"/>
              </w:rPr>
              <w:t>.</w:t>
            </w:r>
            <w:r w:rsidR="00A66BE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1EBBAE92" w:rsidR="00102FFB" w:rsidRPr="00642C80" w:rsidRDefault="00FC2FA5" w:rsidP="00FC2FA5">
            <w:pPr>
              <w:jc w:val="both"/>
              <w:rPr>
                <w:sz w:val="24"/>
                <w:szCs w:val="24"/>
              </w:rPr>
            </w:pPr>
            <w:r>
              <w:rPr>
                <w:sz w:val="24"/>
                <w:szCs w:val="24"/>
              </w:rPr>
              <w:t>11.12.2020</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44D7FEC1" w:rsidR="000665CF" w:rsidRPr="00642C80" w:rsidRDefault="00FC2FA5" w:rsidP="00FC2FA5">
            <w:pPr>
              <w:jc w:val="both"/>
              <w:rPr>
                <w:sz w:val="24"/>
                <w:szCs w:val="24"/>
              </w:rPr>
            </w:pPr>
            <w:r>
              <w:rPr>
                <w:sz w:val="24"/>
                <w:szCs w:val="24"/>
              </w:rPr>
              <w:t>18.12.2020</w:t>
            </w:r>
            <w:r w:rsidR="00015247" w:rsidRPr="00642C80">
              <w:rPr>
                <w:sz w:val="24"/>
                <w:szCs w:val="24"/>
              </w:rPr>
              <w:t xml:space="preserve"> </w:t>
            </w:r>
            <w:r w:rsidR="006C602E">
              <w:rPr>
                <w:sz w:val="24"/>
                <w:szCs w:val="24"/>
              </w:rPr>
              <w:t>в 1</w:t>
            </w:r>
            <w:r w:rsidR="00FB2558">
              <w:rPr>
                <w:sz w:val="24"/>
                <w:szCs w:val="24"/>
              </w:rPr>
              <w:t>2</w:t>
            </w:r>
            <w:r w:rsidR="006C602E">
              <w:rPr>
                <w:sz w:val="24"/>
                <w:szCs w:val="24"/>
              </w:rPr>
              <w:t xml:space="preserve"> час. </w:t>
            </w:r>
            <w:r w:rsidR="00A66BE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603B0249" w:rsidR="000665CF" w:rsidRPr="00B35B14" w:rsidRDefault="000665CF" w:rsidP="002E195E">
            <w:pPr>
              <w:jc w:val="both"/>
              <w:rPr>
                <w:sz w:val="24"/>
                <w:szCs w:val="24"/>
              </w:rPr>
            </w:pPr>
            <w:r w:rsidRPr="00B35B14">
              <w:rPr>
                <w:sz w:val="24"/>
                <w:szCs w:val="24"/>
              </w:rPr>
              <w:t xml:space="preserve">Дата начала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26D30E6"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FC2FA5">
              <w:rPr>
                <w:sz w:val="24"/>
                <w:szCs w:val="24"/>
              </w:rPr>
              <w:t>18.12.2020</w:t>
            </w:r>
            <w:r>
              <w:rPr>
                <w:sz w:val="24"/>
                <w:szCs w:val="24"/>
              </w:rPr>
              <w:t xml:space="preserve"> в 1</w:t>
            </w:r>
            <w:r w:rsidR="00A66BEE">
              <w:rPr>
                <w:sz w:val="24"/>
                <w:szCs w:val="24"/>
              </w:rPr>
              <w:t>3</w:t>
            </w:r>
            <w:r>
              <w:rPr>
                <w:sz w:val="24"/>
                <w:szCs w:val="24"/>
              </w:rPr>
              <w:t xml:space="preserve"> час. </w:t>
            </w:r>
            <w:r w:rsidR="00FB2558">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52D39A50" w:rsidR="006C602E" w:rsidRPr="00642C80" w:rsidRDefault="006C602E" w:rsidP="00725B3F">
            <w:pPr>
              <w:widowControl w:val="0"/>
              <w:autoSpaceDE w:val="0"/>
              <w:autoSpaceDN w:val="0"/>
              <w:adjustRightInd w:val="0"/>
              <w:jc w:val="both"/>
              <w:rPr>
                <w:sz w:val="24"/>
                <w:szCs w:val="24"/>
              </w:rPr>
            </w:pP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6626B85A"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DC4EF6">
              <w:rPr>
                <w:rFonts w:ascii="Times New Roman" w:hAnsi="Times New Roman" w:cs="Times New Roman"/>
              </w:rPr>
              <w:t>9</w:t>
            </w:r>
            <w:r w:rsidR="002E195E">
              <w:rPr>
                <w:rFonts w:ascii="Times New Roman" w:hAnsi="Times New Roman" w:cs="Times New Roman"/>
              </w:rPr>
              <w:t>0</w:t>
            </w:r>
            <w:r w:rsidRPr="00015247">
              <w:rPr>
                <w:rFonts w:ascii="Times New Roman" w:hAnsi="Times New Roman" w:cs="Times New Roman"/>
              </w:rPr>
              <w:t xml:space="preserve"> % </w:t>
            </w:r>
          </w:p>
          <w:p w14:paraId="00166B91" w14:textId="7D6A4E66"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FC2FA5">
              <w:rPr>
                <w:sz w:val="24"/>
                <w:szCs w:val="24"/>
              </w:rPr>
              <w:t>3 000 000,00</w:t>
            </w:r>
            <w:r w:rsidR="00015247" w:rsidRPr="00015247">
              <w:rPr>
                <w:sz w:val="24"/>
                <w:szCs w:val="24"/>
              </w:rPr>
              <w:t xml:space="preserve">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w:t>
            </w:r>
            <w:r w:rsidR="00DC4EF6">
              <w:rPr>
                <w:sz w:val="24"/>
                <w:szCs w:val="24"/>
                <w:lang w:eastAsia="en-US"/>
              </w:rPr>
              <w:t>0</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lastRenderedPageBreak/>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35D98695"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FC2FA5" w:rsidRPr="00FC2FA5">
              <w:rPr>
                <w:lang w:eastAsia="en-US"/>
              </w:rPr>
              <w:t xml:space="preserve">3 000 000,00 </w:t>
            </w:r>
            <w:r w:rsidRPr="00015247">
              <w:t xml:space="preserve">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64E7AC9D"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FC2FA5" w:rsidRPr="00FC2FA5">
              <w:rPr>
                <w:lang w:eastAsia="en-US"/>
              </w:rPr>
              <w:t xml:space="preserve">3 000 000,00 </w:t>
            </w:r>
            <w:r w:rsidR="00327451" w:rsidRPr="00015247">
              <w:t xml:space="preserve"> </w:t>
            </w:r>
            <w:r w:rsidR="00327451" w:rsidRPr="00015247">
              <w:rPr>
                <w:lang w:eastAsia="en-US"/>
              </w:rPr>
              <w:t xml:space="preserve">рублей </w:t>
            </w:r>
            <w:r>
              <w:rPr>
                <w:szCs w:val="22"/>
              </w:rPr>
              <w:t>– 1 балл;</w:t>
            </w:r>
          </w:p>
          <w:p w14:paraId="64A9C136" w14:textId="7284D094"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FC2FA5" w:rsidRPr="00FC2FA5">
              <w:rPr>
                <w:lang w:eastAsia="en-US"/>
              </w:rPr>
              <w:t xml:space="preserve">3 000 000,00 </w:t>
            </w:r>
            <w:r w:rsidR="00327451" w:rsidRPr="00015247">
              <w:t xml:space="preserve"> </w:t>
            </w:r>
            <w:r w:rsidR="00327451" w:rsidRPr="00015247">
              <w:rPr>
                <w:lang w:eastAsia="en-US"/>
              </w:rPr>
              <w:t>рублей</w:t>
            </w:r>
            <w:r>
              <w:rPr>
                <w:szCs w:val="22"/>
              </w:rPr>
              <w:t xml:space="preserve">    –0 баллов;</w:t>
            </w:r>
          </w:p>
          <w:p w14:paraId="7908F08C" w14:textId="25F752A7" w:rsidR="00CE2643" w:rsidRPr="00015247" w:rsidRDefault="00D40280" w:rsidP="002E195E">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FC2FA5" w:rsidRPr="00FC2FA5">
              <w:rPr>
                <w:sz w:val="24"/>
                <w:szCs w:val="24"/>
                <w:lang w:eastAsia="en-US"/>
              </w:rPr>
              <w:t xml:space="preserve">3 000 000,00 </w:t>
            </w:r>
            <w:r w:rsidR="002E195E">
              <w:rPr>
                <w:sz w:val="24"/>
                <w:szCs w:val="24"/>
                <w:lang w:eastAsia="en-US"/>
              </w:rPr>
              <w:t xml:space="preserve"> </w:t>
            </w:r>
            <w:r w:rsidR="00327451" w:rsidRPr="00015247">
              <w:rPr>
                <w:sz w:val="24"/>
                <w:szCs w:val="24"/>
              </w:rPr>
              <w:t xml:space="preserve">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7ACD6076" w:rsidR="00265003" w:rsidRPr="00456A3F" w:rsidRDefault="00265003" w:rsidP="00FC2FA5">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FC2FA5">
              <w:rPr>
                <w:rFonts w:ascii="Times New Roman" w:hAnsi="Times New Roman" w:cs="Times New Roman"/>
                <w:color w:val="000000"/>
                <w:shd w:val="clear" w:color="auto" w:fill="FFFFFF"/>
              </w:rPr>
              <w:t>11.12.2020</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FC2FA5">
              <w:rPr>
                <w:rFonts w:ascii="Times New Roman" w:hAnsi="Times New Roman" w:cs="Times New Roman"/>
                <w:color w:val="000000"/>
                <w:shd w:val="clear" w:color="auto" w:fill="FFFFFF"/>
              </w:rPr>
              <w:t>15.12.2020</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E9658F0" w:rsidR="00265003" w:rsidRPr="003B7257" w:rsidRDefault="000E6F28" w:rsidP="00FC2FA5">
            <w:pPr>
              <w:pStyle w:val="af9"/>
              <w:shd w:val="clear" w:color="auto" w:fill="FFFFFF"/>
              <w:spacing w:before="0" w:beforeAutospacing="0" w:after="0" w:afterAutospacing="0"/>
              <w:jc w:val="both"/>
              <w:rPr>
                <w:rFonts w:ascii="Tahoma" w:hAnsi="Tahoma" w:cs="Tahoma"/>
              </w:rPr>
            </w:pPr>
            <w:r w:rsidRPr="000E6F28">
              <w:t xml:space="preserve">с </w:t>
            </w:r>
            <w:r w:rsidR="00FC2FA5">
              <w:t>11.12.2020</w:t>
            </w:r>
            <w:r w:rsidRPr="000E6F28">
              <w:t xml:space="preserve"> по </w:t>
            </w:r>
            <w:r w:rsidR="00FC2FA5">
              <w:t>18.12.2020</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A66BEE">
              <w:t>2.3</w:t>
            </w:r>
            <w:r w:rsidRPr="000E6F28">
              <w:t xml:space="preserve">0 (время </w:t>
            </w:r>
            <w:r w:rsidRPr="000E6F28">
              <w:lastRenderedPageBreak/>
              <w:t>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3948345" w14:textId="252F2CDE" w:rsidR="004D1D09" w:rsidRPr="00812D36" w:rsidRDefault="000C336F" w:rsidP="000C336F">
      <w:pPr>
        <w:numPr>
          <w:ilvl w:val="0"/>
          <w:numId w:val="5"/>
        </w:numPr>
        <w:ind w:left="0" w:firstLine="0"/>
        <w:rPr>
          <w:sz w:val="24"/>
          <w:szCs w:val="24"/>
        </w:rPr>
      </w:pPr>
      <w:r>
        <w:rPr>
          <w:sz w:val="24"/>
          <w:szCs w:val="24"/>
        </w:rPr>
        <w:t>Техническое задание на поставку</w:t>
      </w:r>
      <w:r w:rsidR="00E8767F">
        <w:rPr>
          <w:sz w:val="24"/>
          <w:szCs w:val="24"/>
        </w:rPr>
        <w:t>.</w:t>
      </w:r>
    </w:p>
    <w:sectPr w:rsidR="004D1D09" w:rsidRPr="00812D36"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43B0"/>
    <w:rsid w:val="0013683D"/>
    <w:rsid w:val="00137674"/>
    <w:rsid w:val="001616C9"/>
    <w:rsid w:val="00162C8B"/>
    <w:rsid w:val="00173778"/>
    <w:rsid w:val="00174BBA"/>
    <w:rsid w:val="00177E11"/>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195E"/>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B64E5"/>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A494F"/>
    <w:rsid w:val="005B1501"/>
    <w:rsid w:val="005B79B1"/>
    <w:rsid w:val="005C5765"/>
    <w:rsid w:val="005C74BE"/>
    <w:rsid w:val="005E5340"/>
    <w:rsid w:val="006033FF"/>
    <w:rsid w:val="00603FBF"/>
    <w:rsid w:val="0060423D"/>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34D2"/>
    <w:rsid w:val="00697E84"/>
    <w:rsid w:val="006B3AB6"/>
    <w:rsid w:val="006B6772"/>
    <w:rsid w:val="006C602E"/>
    <w:rsid w:val="006C6434"/>
    <w:rsid w:val="006D010E"/>
    <w:rsid w:val="006D0A6A"/>
    <w:rsid w:val="006D1C90"/>
    <w:rsid w:val="006D2E8E"/>
    <w:rsid w:val="006D313A"/>
    <w:rsid w:val="006D7538"/>
    <w:rsid w:val="006E3523"/>
    <w:rsid w:val="006E5D37"/>
    <w:rsid w:val="006E779C"/>
    <w:rsid w:val="006F019F"/>
    <w:rsid w:val="006F46EB"/>
    <w:rsid w:val="00706F80"/>
    <w:rsid w:val="00707E25"/>
    <w:rsid w:val="00710F2E"/>
    <w:rsid w:val="00712508"/>
    <w:rsid w:val="007157FE"/>
    <w:rsid w:val="00716B6D"/>
    <w:rsid w:val="0072406A"/>
    <w:rsid w:val="00725B3F"/>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1BA1"/>
    <w:rsid w:val="007D6AFD"/>
    <w:rsid w:val="007D7042"/>
    <w:rsid w:val="007D73DD"/>
    <w:rsid w:val="007E680E"/>
    <w:rsid w:val="007E7B8B"/>
    <w:rsid w:val="007F3AEE"/>
    <w:rsid w:val="007F66C4"/>
    <w:rsid w:val="007F6B12"/>
    <w:rsid w:val="007F7F1C"/>
    <w:rsid w:val="00802C7B"/>
    <w:rsid w:val="00803224"/>
    <w:rsid w:val="0080337E"/>
    <w:rsid w:val="00806C5C"/>
    <w:rsid w:val="00812D36"/>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A7F1D"/>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66BE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5E92"/>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C4EF6"/>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C2FA5"/>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B26B0-44D5-404C-9130-D6B65F79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5</Pages>
  <Words>1672</Words>
  <Characters>9532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36</cp:revision>
  <cp:lastPrinted>2019-10-04T10:05:00Z</cp:lastPrinted>
  <dcterms:created xsi:type="dcterms:W3CDTF">2017-04-20T07:03:00Z</dcterms:created>
  <dcterms:modified xsi:type="dcterms:W3CDTF">2020-12-10T14:02:00Z</dcterms:modified>
</cp:coreProperties>
</file>