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C6133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2C6133">
        <w:rPr>
          <w:spacing w:val="-4"/>
          <w:sz w:val="25"/>
          <w:szCs w:val="25"/>
        </w:rPr>
        <w:t>июля по сентябрь 2021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</w:t>
      </w:r>
      <w:r w:rsidR="009E70A6">
        <w:rPr>
          <w:spacing w:val="-1"/>
          <w:sz w:val="25"/>
          <w:szCs w:val="25"/>
        </w:rPr>
        <w:t>ую</w:t>
      </w:r>
      <w:r w:rsidR="00093AB6" w:rsidRPr="00093AB6">
        <w:rPr>
          <w:spacing w:val="-1"/>
          <w:sz w:val="25"/>
          <w:szCs w:val="25"/>
        </w:rPr>
        <w:t xml:space="preserve">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</w:t>
      </w:r>
      <w:r w:rsidR="009E70A6">
        <w:rPr>
          <w:sz w:val="25"/>
          <w:szCs w:val="25"/>
        </w:rPr>
        <w:t xml:space="preserve"> не несет ответственности за </w:t>
      </w:r>
      <w:proofErr w:type="spellStart"/>
      <w:r w:rsidR="009E70A6">
        <w:rPr>
          <w:sz w:val="25"/>
          <w:szCs w:val="25"/>
        </w:rPr>
        <w:t>не</w:t>
      </w:r>
      <w:r>
        <w:rPr>
          <w:sz w:val="25"/>
          <w:szCs w:val="25"/>
        </w:rPr>
        <w:t>выборку</w:t>
      </w:r>
      <w:proofErr w:type="spellEnd"/>
      <w:r>
        <w:rPr>
          <w:sz w:val="25"/>
          <w:szCs w:val="25"/>
        </w:rPr>
        <w:t xml:space="preserve">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</w:t>
      </w:r>
      <w:r w:rsidR="009E70A6">
        <w:rPr>
          <w:sz w:val="25"/>
          <w:szCs w:val="25"/>
        </w:rPr>
        <w:t>,</w:t>
      </w:r>
      <w:r w:rsidR="002F0688" w:rsidRPr="00093AB6">
        <w:rPr>
          <w:sz w:val="25"/>
          <w:szCs w:val="25"/>
        </w:rPr>
        <w:t xml:space="preserve">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E468CF">
        <w:rPr>
          <w:sz w:val="25"/>
          <w:szCs w:val="25"/>
        </w:rPr>
        <w:t>01 июля 202</w:t>
      </w:r>
      <w:r w:rsidR="00B23DB7">
        <w:rPr>
          <w:sz w:val="25"/>
          <w:szCs w:val="25"/>
        </w:rPr>
        <w:t>1</w:t>
      </w:r>
      <w:bookmarkStart w:id="0" w:name="_GoBack"/>
      <w:bookmarkEnd w:id="0"/>
      <w:r w:rsidR="00E468CF">
        <w:rPr>
          <w:sz w:val="25"/>
          <w:szCs w:val="25"/>
        </w:rPr>
        <w:t xml:space="preserve"> года</w:t>
      </w:r>
      <w:r w:rsidR="00EE7322">
        <w:rPr>
          <w:sz w:val="25"/>
          <w:szCs w:val="25"/>
        </w:rPr>
        <w:t xml:space="preserve"> </w:t>
      </w:r>
      <w:r w:rsidR="008551EA">
        <w:rPr>
          <w:sz w:val="25"/>
          <w:szCs w:val="25"/>
        </w:rPr>
        <w:t>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91349A">
        <w:rPr>
          <w:sz w:val="25"/>
          <w:szCs w:val="25"/>
        </w:rPr>
        <w:t xml:space="preserve">0 </w:t>
      </w:r>
      <w:r w:rsidR="000B4FD0">
        <w:rPr>
          <w:sz w:val="25"/>
          <w:szCs w:val="25"/>
        </w:rPr>
        <w:t>сентября</w:t>
      </w:r>
      <w:r w:rsidR="0091349A">
        <w:rPr>
          <w:sz w:val="25"/>
          <w:szCs w:val="25"/>
        </w:rPr>
        <w:t xml:space="preserve"> 2021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2C6133">
        <w:rPr>
          <w:sz w:val="24"/>
        </w:rPr>
        <w:t>1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C6133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№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proofErr w:type="gramStart"/>
            <w:r w:rsidRPr="00082752">
              <w:rPr>
                <w:sz w:val="22"/>
                <w:szCs w:val="22"/>
              </w:rPr>
              <w:t>п</w:t>
            </w:r>
            <w:proofErr w:type="gramEnd"/>
            <w:r w:rsidRPr="00082752">
              <w:rPr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Наименование </w:t>
            </w:r>
            <w:r w:rsidR="00AE5C27" w:rsidRPr="00082752">
              <w:rPr>
                <w:sz w:val="22"/>
                <w:szCs w:val="22"/>
              </w:rPr>
              <w:t>продукции</w:t>
            </w:r>
          </w:p>
          <w:p w:rsidR="00D46262" w:rsidRPr="00082752" w:rsidRDefault="00D46262" w:rsidP="001A3F7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Ед. измерения</w:t>
            </w:r>
          </w:p>
          <w:p w:rsidR="00D46262" w:rsidRPr="00082752" w:rsidRDefault="00D46262" w:rsidP="00967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8145E4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Общая стоимость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с НДС в руб.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1.</w:t>
            </w:r>
          </w:p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вязальная ГОСТ 3282-74,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82752">
              <w:rPr>
                <w:color w:val="000000"/>
                <w:sz w:val="22"/>
                <w:szCs w:val="22"/>
              </w:rPr>
              <w:t>Предназначена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для увязывания кип после прессования.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Увязывание происходит в автоматическом режиме.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Требования: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Термически обработанная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 w:rsidRPr="00082752">
              <w:rPr>
                <w:color w:val="000000"/>
                <w:sz w:val="22"/>
                <w:szCs w:val="22"/>
              </w:rPr>
              <w:t>соответ</w:t>
            </w:r>
            <w:proofErr w:type="spellEnd"/>
            <w:r w:rsidRPr="00082752">
              <w:rPr>
                <w:color w:val="000000"/>
                <w:sz w:val="22"/>
                <w:szCs w:val="22"/>
              </w:rPr>
              <w:t>. с ГОСТом,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Временное сопротивление разрыву, Н/мм</w:t>
            </w:r>
            <w:proofErr w:type="gramStart"/>
            <w:r w:rsidRPr="000827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82752">
              <w:rPr>
                <w:color w:val="000000"/>
                <w:sz w:val="22"/>
                <w:szCs w:val="22"/>
              </w:rPr>
              <w:t xml:space="preserve"> (кгс/мм2) –290-490, (30-50) 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Относительное удлинение – не менее 5%</w:t>
            </w:r>
          </w:p>
          <w:p w:rsidR="0091349A" w:rsidRPr="00082752" w:rsidRDefault="0091349A" w:rsidP="0091349A">
            <w:pPr>
              <w:jc w:val="both"/>
              <w:rPr>
                <w:color w:val="000000"/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082752" w:rsidRDefault="0091349A" w:rsidP="009E70A6">
            <w:pPr>
              <w:jc w:val="both"/>
              <w:rPr>
                <w:sz w:val="22"/>
                <w:szCs w:val="22"/>
              </w:rPr>
            </w:pPr>
            <w:r w:rsidRPr="00082752">
              <w:rPr>
                <w:color w:val="000000"/>
                <w:sz w:val="22"/>
                <w:szCs w:val="22"/>
              </w:rPr>
              <w:t>Проволока д</w:t>
            </w:r>
            <w:r w:rsidR="009E70A6" w:rsidRPr="00082752">
              <w:rPr>
                <w:color w:val="000000"/>
                <w:sz w:val="22"/>
                <w:szCs w:val="22"/>
              </w:rPr>
              <w:t>олжна быть</w:t>
            </w:r>
            <w:r w:rsidRPr="00082752">
              <w:rPr>
                <w:color w:val="000000"/>
                <w:sz w:val="22"/>
                <w:szCs w:val="22"/>
              </w:rPr>
              <w:t xml:space="preserve">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082752" w:rsidRDefault="002C6133" w:rsidP="002C6133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8145E4" w:rsidP="002C6133">
            <w:pPr>
              <w:jc w:val="center"/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 xml:space="preserve">С </w:t>
            </w:r>
            <w:r w:rsidR="002C6133" w:rsidRPr="00082752">
              <w:rPr>
                <w:sz w:val="22"/>
                <w:szCs w:val="22"/>
              </w:rPr>
              <w:t>июля по сентябрь 2021</w:t>
            </w:r>
            <w:r w:rsidR="00453722" w:rsidRPr="000827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676C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sz w:val="22"/>
                <w:szCs w:val="22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1B181E" w:rsidP="001A3F76">
            <w:pPr>
              <w:rPr>
                <w:sz w:val="22"/>
                <w:szCs w:val="22"/>
              </w:rPr>
            </w:pPr>
            <w:r w:rsidRPr="00082752">
              <w:rPr>
                <w:sz w:val="22"/>
                <w:szCs w:val="22"/>
              </w:rPr>
              <w:t>Итого с учётом НДС 20</w:t>
            </w:r>
            <w:r w:rsidR="00D46262" w:rsidRPr="00082752"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082752" w:rsidRDefault="00D46262" w:rsidP="001A3F7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BF3347">
        <w:rPr>
          <w:sz w:val="24"/>
        </w:rPr>
        <w:t>1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t>6</w:t>
      </w:r>
      <w:r w:rsidR="00093EBF">
        <w:rPr>
          <w:sz w:val="24"/>
        </w:rPr>
        <w:t>.     Заказчик</w:t>
      </w:r>
      <w:r w:rsidR="00BF3347">
        <w:rPr>
          <w:sz w:val="24"/>
        </w:rPr>
        <w:t xml:space="preserve"> не несет ответственности за </w:t>
      </w:r>
      <w:proofErr w:type="spellStart"/>
      <w:r w:rsidR="00BF3347">
        <w:rPr>
          <w:sz w:val="24"/>
        </w:rPr>
        <w:t>не</w:t>
      </w:r>
      <w:r w:rsidR="00093EBF">
        <w:rPr>
          <w:sz w:val="24"/>
        </w:rPr>
        <w:t>выборку</w:t>
      </w:r>
      <w:proofErr w:type="spellEnd"/>
      <w:r w:rsidR="00093EBF">
        <w:rPr>
          <w:sz w:val="24"/>
        </w:rPr>
        <w:t xml:space="preserve">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082752">
        <w:trPr>
          <w:trHeight w:val="1401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082752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2"/>
      <w:footerReference w:type="first" r:id="rId13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A1" w:rsidRDefault="002F37A1">
      <w:r>
        <w:separator/>
      </w:r>
    </w:p>
  </w:endnote>
  <w:endnote w:type="continuationSeparator" w:id="0">
    <w:p w:rsidR="002F37A1" w:rsidRDefault="002F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52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A1" w:rsidRDefault="002F37A1">
      <w:r>
        <w:separator/>
      </w:r>
    </w:p>
  </w:footnote>
  <w:footnote w:type="continuationSeparator" w:id="0">
    <w:p w:rsidR="002F37A1" w:rsidRDefault="002F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77158"/>
    <w:rsid w:val="00082752"/>
    <w:rsid w:val="0008582A"/>
    <w:rsid w:val="00091333"/>
    <w:rsid w:val="00091E3A"/>
    <w:rsid w:val="00093AB6"/>
    <w:rsid w:val="00093EBF"/>
    <w:rsid w:val="00097B21"/>
    <w:rsid w:val="000B317E"/>
    <w:rsid w:val="000B4FD0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C6133"/>
    <w:rsid w:val="002D79A0"/>
    <w:rsid w:val="002E0B2A"/>
    <w:rsid w:val="002F0688"/>
    <w:rsid w:val="002F2AC3"/>
    <w:rsid w:val="002F37A1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64F47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0001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A6"/>
    <w:rsid w:val="009E70B8"/>
    <w:rsid w:val="009F18FC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0C58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23DB7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BF3347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68CF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E7322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4E4F-CC33-4AAA-98EC-8FC3ACF1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53</cp:revision>
  <cp:lastPrinted>2021-06-08T07:59:00Z</cp:lastPrinted>
  <dcterms:created xsi:type="dcterms:W3CDTF">2018-03-31T12:39:00Z</dcterms:created>
  <dcterms:modified xsi:type="dcterms:W3CDTF">2021-06-08T08:19:00Z</dcterms:modified>
</cp:coreProperties>
</file>